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C1E24" w14:textId="798CB6A9" w:rsidR="008C28C9" w:rsidRPr="00444B0D" w:rsidRDefault="0B2C9747" w:rsidP="00F16353">
      <w:r>
        <w:rPr>
          <w:noProof/>
        </w:rPr>
        <w:drawing>
          <wp:anchor distT="0" distB="0" distL="114300" distR="114300" simplePos="0" relativeHeight="251658240" behindDoc="0" locked="0" layoutInCell="1" allowOverlap="1" wp14:anchorId="3D899F42" wp14:editId="6B62E214">
            <wp:simplePos x="0" y="0"/>
            <wp:positionH relativeFrom="column">
              <wp:posOffset>-12700</wp:posOffset>
            </wp:positionH>
            <wp:positionV relativeFrom="paragraph">
              <wp:posOffset>-139065</wp:posOffset>
            </wp:positionV>
            <wp:extent cx="3232150" cy="857888"/>
            <wp:effectExtent l="0" t="0" r="6350" b="0"/>
            <wp:wrapNone/>
            <wp:docPr id="1606870971" name="Picture 160687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2150" cy="857888"/>
                    </a:xfrm>
                    <a:prstGeom prst="rect">
                      <a:avLst/>
                    </a:prstGeom>
                  </pic:spPr>
                </pic:pic>
              </a:graphicData>
            </a:graphic>
            <wp14:sizeRelH relativeFrom="margin">
              <wp14:pctWidth>0</wp14:pctWidth>
            </wp14:sizeRelH>
            <wp14:sizeRelV relativeFrom="margin">
              <wp14:pctHeight>0</wp14:pctHeight>
            </wp14:sizeRelV>
          </wp:anchor>
        </w:drawing>
      </w:r>
    </w:p>
    <w:p w14:paraId="5BA4DD88" w14:textId="17CE5DBD" w:rsidR="00444B0D" w:rsidRDefault="00444B0D" w:rsidP="393E7C48">
      <w:pPr>
        <w:rPr>
          <w:rFonts w:ascii="Arial" w:hAnsi="Arial" w:cs="Arial"/>
          <w:b/>
          <w:bCs/>
          <w:color w:val="0070C0"/>
          <w:sz w:val="32"/>
          <w:szCs w:val="32"/>
        </w:rPr>
      </w:pPr>
    </w:p>
    <w:p w14:paraId="62EEDE32" w14:textId="77777777" w:rsidR="00CD7E3C" w:rsidRDefault="00CD7E3C" w:rsidP="393E7C48">
      <w:pPr>
        <w:rPr>
          <w:rFonts w:ascii="Arial" w:hAnsi="Arial" w:cs="Arial"/>
          <w:b/>
          <w:bCs/>
          <w:color w:val="0070C0"/>
          <w:sz w:val="32"/>
          <w:szCs w:val="32"/>
        </w:rPr>
      </w:pPr>
    </w:p>
    <w:p w14:paraId="7805E2B2" w14:textId="77777777" w:rsidR="00444B0D" w:rsidRDefault="00444B0D" w:rsidP="393E7C48">
      <w:pPr>
        <w:rPr>
          <w:rFonts w:ascii="Arial" w:hAnsi="Arial" w:cs="Arial"/>
          <w:b/>
          <w:bCs/>
          <w:color w:val="0070C0"/>
          <w:sz w:val="32"/>
          <w:szCs w:val="32"/>
        </w:rPr>
      </w:pPr>
    </w:p>
    <w:p w14:paraId="32520B55" w14:textId="5ED3A24A" w:rsidR="00F16353" w:rsidRPr="000B0DB3" w:rsidRDefault="00F16353" w:rsidP="393E7C48">
      <w:pPr>
        <w:rPr>
          <w:rFonts w:ascii="Arial" w:hAnsi="Arial" w:cs="Arial"/>
          <w:b/>
          <w:bCs/>
          <w:color w:val="0070C0"/>
          <w:sz w:val="32"/>
          <w:szCs w:val="32"/>
        </w:rPr>
      </w:pPr>
      <w:r w:rsidRPr="393E7C48">
        <w:rPr>
          <w:rFonts w:ascii="Arial" w:hAnsi="Arial" w:cs="Arial"/>
          <w:b/>
          <w:bCs/>
          <w:color w:val="0070C0"/>
          <w:sz w:val="32"/>
          <w:szCs w:val="32"/>
        </w:rPr>
        <w:t xml:space="preserve">LESSON 2- Colonialism </w:t>
      </w:r>
      <w:r w:rsidR="50147C03" w:rsidRPr="393E7C48">
        <w:rPr>
          <w:rFonts w:ascii="Arial" w:hAnsi="Arial" w:cs="Arial"/>
          <w:b/>
          <w:bCs/>
          <w:color w:val="0070C0"/>
          <w:sz w:val="32"/>
          <w:szCs w:val="32"/>
        </w:rPr>
        <w:t>a</w:t>
      </w:r>
      <w:r w:rsidRPr="393E7C48">
        <w:rPr>
          <w:rFonts w:ascii="Arial" w:hAnsi="Arial" w:cs="Arial"/>
          <w:b/>
          <w:bCs/>
          <w:color w:val="0070C0"/>
          <w:sz w:val="32"/>
          <w:szCs w:val="32"/>
        </w:rPr>
        <w:t>nd Fossil Fuels</w:t>
      </w:r>
    </w:p>
    <w:p w14:paraId="06FD9AF3" w14:textId="77777777" w:rsidR="00F16353" w:rsidRPr="00F16353" w:rsidRDefault="00F16353">
      <w:pPr>
        <w:rPr>
          <w:rFonts w:ascii="Arial" w:hAnsi="Arial" w:cs="Arial"/>
          <w:b/>
          <w:bCs/>
          <w:sz w:val="12"/>
          <w:szCs w:val="12"/>
        </w:rPr>
      </w:pPr>
    </w:p>
    <w:p w14:paraId="1E9094CD" w14:textId="0E536DFC" w:rsidR="007B012A" w:rsidRPr="00F16353" w:rsidRDefault="00EA7001" w:rsidP="14BF3AA6">
      <w:pPr>
        <w:rPr>
          <w:rFonts w:ascii="Arial" w:hAnsi="Arial" w:cs="Arial"/>
          <w:b/>
          <w:bCs/>
        </w:rPr>
      </w:pPr>
      <w:r w:rsidRPr="14BF3AA6">
        <w:rPr>
          <w:rFonts w:ascii="Arial" w:hAnsi="Arial" w:cs="Arial"/>
          <w:b/>
          <w:bCs/>
        </w:rPr>
        <w:t>Timeline Card</w:t>
      </w:r>
      <w:r w:rsidR="00F16353" w:rsidRPr="14BF3AA6">
        <w:rPr>
          <w:rFonts w:ascii="Arial" w:hAnsi="Arial" w:cs="Arial"/>
          <w:b/>
          <w:bCs/>
        </w:rPr>
        <w:t>s</w:t>
      </w:r>
      <w:r w:rsidR="29D9B05B" w:rsidRPr="14BF3AA6">
        <w:rPr>
          <w:rFonts w:ascii="Arial" w:hAnsi="Arial" w:cs="Arial"/>
          <w:b/>
          <w:bCs/>
        </w:rPr>
        <w:t xml:space="preserve"> - print and cut out</w:t>
      </w:r>
      <w:r w:rsidR="5441DE8E" w:rsidRPr="14BF3AA6">
        <w:rPr>
          <w:rFonts w:ascii="Arial" w:hAnsi="Arial" w:cs="Arial"/>
          <w:b/>
          <w:bCs/>
        </w:rPr>
        <w:t>. The cards are shown in the correct order below.</w:t>
      </w:r>
    </w:p>
    <w:p w14:paraId="3ACC5B14" w14:textId="0EAFB499" w:rsidR="00EA7001" w:rsidRPr="00F16353" w:rsidRDefault="00EA7001">
      <w:pPr>
        <w:rPr>
          <w:rFonts w:ascii="Arial" w:hAnsi="Arial" w:cs="Arial"/>
        </w:rPr>
      </w:pPr>
      <w:bookmarkStart w:id="0" w:name="_10lki0wgckii" w:colFirst="0" w:colLast="0"/>
      <w:bookmarkEnd w:id="0"/>
    </w:p>
    <w:tbl>
      <w:tblPr>
        <w:tblW w:w="10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6"/>
      </w:tblGrid>
      <w:tr w:rsidR="00EA7001" w:rsidRPr="00F16353" w14:paraId="758A1E90" w14:textId="77777777" w:rsidTr="7793E061">
        <w:trPr>
          <w:jc w:val="center"/>
        </w:trPr>
        <w:tc>
          <w:tcPr>
            <w:tcW w:w="10336" w:type="dxa"/>
            <w:shd w:val="clear" w:color="auto" w:fill="auto"/>
            <w:tcMar>
              <w:top w:w="100" w:type="dxa"/>
              <w:left w:w="100" w:type="dxa"/>
              <w:bottom w:w="100" w:type="dxa"/>
              <w:right w:w="100" w:type="dxa"/>
            </w:tcMar>
            <w:vAlign w:val="center"/>
          </w:tcPr>
          <w:p w14:paraId="6B95DE52" w14:textId="77777777" w:rsidR="00EA7001" w:rsidRPr="00F16353" w:rsidRDefault="00EA7001" w:rsidP="00F16353">
            <w:pPr>
              <w:ind w:left="316" w:right="293"/>
              <w:jc w:val="both"/>
              <w:rPr>
                <w:rFonts w:ascii="Arial" w:hAnsi="Arial" w:cs="Arial"/>
                <w:sz w:val="22"/>
                <w:szCs w:val="22"/>
              </w:rPr>
            </w:pPr>
          </w:p>
          <w:p w14:paraId="6F7ED264" w14:textId="34A5A03B" w:rsidR="00EA7001" w:rsidRPr="00F16353" w:rsidRDefault="00EA7001" w:rsidP="00F16353">
            <w:pPr>
              <w:ind w:left="316" w:right="293"/>
              <w:jc w:val="both"/>
              <w:rPr>
                <w:rFonts w:ascii="Arial" w:hAnsi="Arial" w:cs="Arial"/>
                <w:sz w:val="22"/>
                <w:szCs w:val="22"/>
              </w:rPr>
            </w:pPr>
            <w:r w:rsidRPr="7793E061">
              <w:rPr>
                <w:rFonts w:ascii="Arial" w:hAnsi="Arial" w:cs="Arial"/>
                <w:sz w:val="22"/>
                <w:szCs w:val="22"/>
              </w:rPr>
              <w:t xml:space="preserve">As the 19th Century progressed, the British Empire’s colonies spread, using land for mining and crops in Africa, the Caribbean and India, and controlling </w:t>
            </w:r>
            <w:r w:rsidR="315F378B" w:rsidRPr="7793E061">
              <w:rPr>
                <w:rFonts w:ascii="Arial" w:hAnsi="Arial" w:cs="Arial"/>
                <w:sz w:val="22"/>
                <w:szCs w:val="22"/>
              </w:rPr>
              <w:t xml:space="preserve">the </w:t>
            </w:r>
            <w:r w:rsidRPr="7793E061">
              <w:rPr>
                <w:rFonts w:ascii="Arial" w:hAnsi="Arial" w:cs="Arial"/>
                <w:sz w:val="22"/>
                <w:szCs w:val="22"/>
              </w:rPr>
              <w:t>economies of countries such as China and Argentina.</w:t>
            </w:r>
          </w:p>
          <w:p w14:paraId="6F5A4807" w14:textId="77777777" w:rsidR="00EA7001" w:rsidRPr="00F16353" w:rsidRDefault="00EA7001" w:rsidP="00F16353">
            <w:pPr>
              <w:widowControl w:val="0"/>
              <w:pBdr>
                <w:top w:val="nil"/>
                <w:left w:val="nil"/>
                <w:bottom w:val="nil"/>
                <w:right w:val="nil"/>
                <w:between w:val="nil"/>
              </w:pBdr>
              <w:ind w:left="316" w:right="293"/>
              <w:jc w:val="both"/>
              <w:rPr>
                <w:rFonts w:ascii="Arial" w:hAnsi="Arial" w:cs="Arial"/>
                <w:sz w:val="22"/>
                <w:szCs w:val="22"/>
              </w:rPr>
            </w:pPr>
          </w:p>
        </w:tc>
      </w:tr>
      <w:tr w:rsidR="00EA7001" w:rsidRPr="00F16353" w14:paraId="585BEC80" w14:textId="77777777" w:rsidTr="7793E061">
        <w:trPr>
          <w:jc w:val="center"/>
        </w:trPr>
        <w:tc>
          <w:tcPr>
            <w:tcW w:w="10336" w:type="dxa"/>
            <w:shd w:val="clear" w:color="auto" w:fill="auto"/>
            <w:tcMar>
              <w:top w:w="100" w:type="dxa"/>
              <w:left w:w="100" w:type="dxa"/>
              <w:bottom w:w="100" w:type="dxa"/>
              <w:right w:w="100" w:type="dxa"/>
            </w:tcMar>
            <w:vAlign w:val="center"/>
          </w:tcPr>
          <w:p w14:paraId="4EC37B6A" w14:textId="77777777" w:rsidR="00EA7001" w:rsidRPr="00F16353" w:rsidRDefault="00EA7001" w:rsidP="00F16353">
            <w:pPr>
              <w:ind w:left="316" w:right="293"/>
              <w:jc w:val="both"/>
              <w:rPr>
                <w:rFonts w:ascii="Arial" w:hAnsi="Arial" w:cs="Arial"/>
                <w:sz w:val="22"/>
                <w:szCs w:val="22"/>
              </w:rPr>
            </w:pPr>
          </w:p>
          <w:p w14:paraId="3C626A26" w14:textId="5F872CB4" w:rsidR="00EA7001" w:rsidRPr="00F16353" w:rsidRDefault="00EA7001" w:rsidP="00F16353">
            <w:pPr>
              <w:ind w:left="316" w:right="293"/>
              <w:jc w:val="both"/>
              <w:rPr>
                <w:rFonts w:ascii="Arial" w:hAnsi="Arial" w:cs="Arial"/>
                <w:sz w:val="22"/>
                <w:szCs w:val="22"/>
              </w:rPr>
            </w:pPr>
            <w:r w:rsidRPr="7793E061">
              <w:rPr>
                <w:rFonts w:ascii="Arial" w:hAnsi="Arial" w:cs="Arial"/>
                <w:sz w:val="22"/>
                <w:szCs w:val="22"/>
              </w:rPr>
              <w:t>Before 1914</w:t>
            </w:r>
            <w:r w:rsidR="7A631322" w:rsidRPr="7793E061">
              <w:rPr>
                <w:rFonts w:ascii="Arial" w:hAnsi="Arial" w:cs="Arial"/>
                <w:sz w:val="22"/>
                <w:szCs w:val="22"/>
              </w:rPr>
              <w:t>,</w:t>
            </w:r>
            <w:r w:rsidRPr="7793E061">
              <w:rPr>
                <w:rFonts w:ascii="Arial" w:hAnsi="Arial" w:cs="Arial"/>
                <w:sz w:val="22"/>
                <w:szCs w:val="22"/>
              </w:rPr>
              <w:t xml:space="preserve"> Britain rushed to explore new resources and technologies, as other nations tried to compete with its imperial power. In this era, the Titanic and Dreadnought ships were built. British engineers were responsible for new technologies that created a vast demand for oil, driven in part by advances in military aircraft. Supported by Shell Petroleum, the first internal combustion engines were developed from 1900 to 1914. </w:t>
            </w:r>
          </w:p>
          <w:p w14:paraId="268F0913" w14:textId="77777777" w:rsidR="00EA7001" w:rsidRPr="00F16353" w:rsidRDefault="00EA7001" w:rsidP="00F16353">
            <w:pPr>
              <w:widowControl w:val="0"/>
              <w:pBdr>
                <w:top w:val="nil"/>
                <w:left w:val="nil"/>
                <w:bottom w:val="nil"/>
                <w:right w:val="nil"/>
                <w:between w:val="nil"/>
              </w:pBdr>
              <w:ind w:left="316" w:right="293"/>
              <w:jc w:val="both"/>
              <w:rPr>
                <w:rFonts w:ascii="Arial" w:hAnsi="Arial" w:cs="Arial"/>
                <w:sz w:val="22"/>
                <w:szCs w:val="22"/>
              </w:rPr>
            </w:pPr>
          </w:p>
        </w:tc>
      </w:tr>
      <w:tr w:rsidR="00EA7001" w:rsidRPr="00F16353" w14:paraId="0898D178" w14:textId="77777777" w:rsidTr="7793E061">
        <w:trPr>
          <w:jc w:val="center"/>
        </w:trPr>
        <w:tc>
          <w:tcPr>
            <w:tcW w:w="10336" w:type="dxa"/>
            <w:shd w:val="clear" w:color="auto" w:fill="auto"/>
            <w:tcMar>
              <w:top w:w="100" w:type="dxa"/>
              <w:left w:w="100" w:type="dxa"/>
              <w:bottom w:w="100" w:type="dxa"/>
              <w:right w:w="100" w:type="dxa"/>
            </w:tcMar>
            <w:vAlign w:val="center"/>
          </w:tcPr>
          <w:p w14:paraId="598CD918" w14:textId="77777777" w:rsidR="00EA7001" w:rsidRPr="00F16353" w:rsidRDefault="00EA7001" w:rsidP="00F16353">
            <w:pPr>
              <w:ind w:left="316" w:right="293"/>
              <w:jc w:val="both"/>
              <w:rPr>
                <w:rFonts w:ascii="Arial" w:hAnsi="Arial" w:cs="Arial"/>
                <w:sz w:val="22"/>
                <w:szCs w:val="22"/>
              </w:rPr>
            </w:pPr>
          </w:p>
          <w:p w14:paraId="0B714B75" w14:textId="77777777" w:rsidR="00EA7001" w:rsidRPr="00F16353" w:rsidRDefault="00EA7001" w:rsidP="00F16353">
            <w:pPr>
              <w:ind w:left="316" w:right="293"/>
              <w:jc w:val="both"/>
              <w:rPr>
                <w:rFonts w:ascii="Arial" w:hAnsi="Arial" w:cs="Arial"/>
                <w:sz w:val="22"/>
                <w:szCs w:val="22"/>
              </w:rPr>
            </w:pPr>
            <w:r w:rsidRPr="00F16353">
              <w:rPr>
                <w:rFonts w:ascii="Arial" w:hAnsi="Arial" w:cs="Arial"/>
                <w:sz w:val="22"/>
                <w:szCs w:val="22"/>
              </w:rPr>
              <w:t xml:space="preserve">British Petroleum (BP) is one of the world’s oldest oil companies, alongside Shell, dating back to 1908 when the Anglo-Persian Oil Company was formed. BP’s origins lie in oil extraction in what is now modern Iraq and Iran. Shell has extracted oil in many places, including Nigeria. </w:t>
            </w:r>
          </w:p>
          <w:p w14:paraId="146883E6" w14:textId="77777777" w:rsidR="00EA7001" w:rsidRPr="00F16353" w:rsidRDefault="00EA7001" w:rsidP="00F16353">
            <w:pPr>
              <w:widowControl w:val="0"/>
              <w:pBdr>
                <w:top w:val="nil"/>
                <w:left w:val="nil"/>
                <w:bottom w:val="nil"/>
                <w:right w:val="nil"/>
                <w:between w:val="nil"/>
              </w:pBdr>
              <w:ind w:left="316" w:right="293"/>
              <w:jc w:val="both"/>
              <w:rPr>
                <w:rFonts w:ascii="Arial" w:hAnsi="Arial" w:cs="Arial"/>
                <w:sz w:val="22"/>
                <w:szCs w:val="22"/>
              </w:rPr>
            </w:pPr>
          </w:p>
        </w:tc>
      </w:tr>
      <w:tr w:rsidR="00EA7001" w:rsidRPr="00F16353" w14:paraId="75893D3D" w14:textId="77777777" w:rsidTr="7793E061">
        <w:trPr>
          <w:jc w:val="center"/>
        </w:trPr>
        <w:tc>
          <w:tcPr>
            <w:tcW w:w="10336" w:type="dxa"/>
            <w:shd w:val="clear" w:color="auto" w:fill="auto"/>
            <w:tcMar>
              <w:top w:w="100" w:type="dxa"/>
              <w:left w:w="100" w:type="dxa"/>
              <w:bottom w:w="100" w:type="dxa"/>
              <w:right w:w="100" w:type="dxa"/>
            </w:tcMar>
            <w:vAlign w:val="center"/>
          </w:tcPr>
          <w:p w14:paraId="69A8A3EF" w14:textId="77777777" w:rsidR="00EA7001" w:rsidRPr="00F16353" w:rsidRDefault="00EA7001" w:rsidP="00F16353">
            <w:pPr>
              <w:ind w:left="316" w:right="293"/>
              <w:jc w:val="both"/>
              <w:rPr>
                <w:rFonts w:ascii="Arial" w:hAnsi="Arial" w:cs="Arial"/>
                <w:sz w:val="22"/>
                <w:szCs w:val="22"/>
              </w:rPr>
            </w:pPr>
          </w:p>
          <w:p w14:paraId="05A602A3" w14:textId="77777777" w:rsidR="00EA7001" w:rsidRPr="00F16353" w:rsidRDefault="00A72FC2" w:rsidP="00F16353">
            <w:pPr>
              <w:ind w:left="316" w:right="293"/>
              <w:jc w:val="both"/>
              <w:rPr>
                <w:rFonts w:ascii="Arial" w:hAnsi="Arial" w:cs="Arial"/>
                <w:sz w:val="22"/>
                <w:szCs w:val="22"/>
              </w:rPr>
            </w:pPr>
            <w:hyperlink r:id="rId11">
              <w:r w:rsidR="00EA7001" w:rsidRPr="00F16353">
                <w:rPr>
                  <w:rFonts w:ascii="Arial" w:hAnsi="Arial" w:cs="Arial"/>
                  <w:color w:val="1155CC"/>
                  <w:sz w:val="22"/>
                  <w:szCs w:val="22"/>
                  <w:u w:val="single"/>
                </w:rPr>
                <w:t>Winston Churchill</w:t>
              </w:r>
            </w:hyperlink>
            <w:r w:rsidR="00EA7001" w:rsidRPr="00F16353">
              <w:rPr>
                <w:rFonts w:ascii="Arial" w:hAnsi="Arial" w:cs="Arial"/>
                <w:sz w:val="22"/>
                <w:szCs w:val="22"/>
              </w:rPr>
              <w:t xml:space="preserve"> successfully argued to replace coal with oil in Navy ships. This resulted in the British purchase of 51% of the Anglo-Persian Oil company, which became BP. Germany was also gunning to secure this source of oil, and many believe this oil struggle was the real spark for World War One in 1914.</w:t>
            </w:r>
          </w:p>
          <w:p w14:paraId="4CBFCF87" w14:textId="77777777" w:rsidR="00EA7001" w:rsidRPr="00F16353" w:rsidRDefault="00EA7001" w:rsidP="00F16353">
            <w:pPr>
              <w:ind w:left="316" w:right="293"/>
              <w:jc w:val="both"/>
              <w:rPr>
                <w:rFonts w:ascii="Arial" w:hAnsi="Arial" w:cs="Arial"/>
                <w:sz w:val="22"/>
                <w:szCs w:val="22"/>
              </w:rPr>
            </w:pPr>
          </w:p>
        </w:tc>
      </w:tr>
      <w:tr w:rsidR="00EA7001" w:rsidRPr="00F16353" w14:paraId="415C75CF" w14:textId="77777777" w:rsidTr="7793E061">
        <w:trPr>
          <w:jc w:val="center"/>
        </w:trPr>
        <w:tc>
          <w:tcPr>
            <w:tcW w:w="10336" w:type="dxa"/>
            <w:shd w:val="clear" w:color="auto" w:fill="auto"/>
            <w:tcMar>
              <w:top w:w="100" w:type="dxa"/>
              <w:left w:w="100" w:type="dxa"/>
              <w:bottom w:w="100" w:type="dxa"/>
              <w:right w:w="100" w:type="dxa"/>
            </w:tcMar>
            <w:vAlign w:val="center"/>
          </w:tcPr>
          <w:p w14:paraId="2CFF4D24" w14:textId="77777777" w:rsidR="00EA7001" w:rsidRPr="00F16353" w:rsidRDefault="00EA7001" w:rsidP="00F16353">
            <w:pPr>
              <w:ind w:left="316" w:right="293"/>
              <w:jc w:val="both"/>
              <w:rPr>
                <w:rFonts w:ascii="Arial" w:hAnsi="Arial" w:cs="Arial"/>
                <w:sz w:val="22"/>
                <w:szCs w:val="22"/>
              </w:rPr>
            </w:pPr>
          </w:p>
          <w:p w14:paraId="593F1AD8" w14:textId="77777777" w:rsidR="00EA7001" w:rsidRPr="00F16353" w:rsidRDefault="00EA7001" w:rsidP="00F16353">
            <w:pPr>
              <w:ind w:left="316" w:right="293"/>
              <w:jc w:val="both"/>
              <w:rPr>
                <w:rFonts w:ascii="Arial" w:hAnsi="Arial" w:cs="Arial"/>
                <w:sz w:val="22"/>
                <w:szCs w:val="22"/>
              </w:rPr>
            </w:pPr>
            <w:r w:rsidRPr="00F16353">
              <w:rPr>
                <w:rFonts w:ascii="Arial" w:hAnsi="Arial" w:cs="Arial"/>
                <w:sz w:val="22"/>
                <w:szCs w:val="22"/>
              </w:rPr>
              <w:t xml:space="preserve">The turning point that led to our current fossil fuel frenzy was World War II, the first war to be fought using aircraft and tanks. By now, most ships were fuelled by oil too. Many of Britain’s bombing campaigns, led by </w:t>
            </w:r>
            <w:hyperlink r:id="rId12">
              <w:r w:rsidRPr="00F16353">
                <w:rPr>
                  <w:rFonts w:ascii="Arial" w:hAnsi="Arial" w:cs="Arial"/>
                  <w:color w:val="1155CC"/>
                  <w:sz w:val="22"/>
                  <w:szCs w:val="22"/>
                  <w:u w:val="single"/>
                </w:rPr>
                <w:t>‘Bomber Harris’</w:t>
              </w:r>
            </w:hyperlink>
            <w:r w:rsidRPr="00F16353">
              <w:rPr>
                <w:rFonts w:ascii="Arial" w:hAnsi="Arial" w:cs="Arial"/>
                <w:sz w:val="22"/>
                <w:szCs w:val="22"/>
              </w:rPr>
              <w:t xml:space="preserve">, targeted Germany’s oil resources. </w:t>
            </w:r>
          </w:p>
          <w:p w14:paraId="64F5B638" w14:textId="77777777" w:rsidR="00EA7001" w:rsidRPr="00F16353" w:rsidRDefault="00EA7001" w:rsidP="00F16353">
            <w:pPr>
              <w:widowControl w:val="0"/>
              <w:pBdr>
                <w:top w:val="nil"/>
                <w:left w:val="nil"/>
                <w:bottom w:val="nil"/>
                <w:right w:val="nil"/>
                <w:between w:val="nil"/>
              </w:pBdr>
              <w:ind w:left="316" w:right="293"/>
              <w:jc w:val="both"/>
              <w:rPr>
                <w:rFonts w:ascii="Arial" w:hAnsi="Arial" w:cs="Arial"/>
                <w:sz w:val="22"/>
                <w:szCs w:val="22"/>
              </w:rPr>
            </w:pPr>
          </w:p>
        </w:tc>
      </w:tr>
      <w:tr w:rsidR="00EA7001" w:rsidRPr="00F16353" w14:paraId="06123245" w14:textId="77777777" w:rsidTr="7793E061">
        <w:trPr>
          <w:trHeight w:val="1777"/>
          <w:jc w:val="center"/>
        </w:trPr>
        <w:tc>
          <w:tcPr>
            <w:tcW w:w="10336" w:type="dxa"/>
            <w:shd w:val="clear" w:color="auto" w:fill="auto"/>
            <w:tcMar>
              <w:top w:w="100" w:type="dxa"/>
              <w:left w:w="100" w:type="dxa"/>
              <w:bottom w:w="100" w:type="dxa"/>
              <w:right w:w="100" w:type="dxa"/>
            </w:tcMar>
            <w:vAlign w:val="center"/>
          </w:tcPr>
          <w:p w14:paraId="5BAFE5DD" w14:textId="6D2B3F16" w:rsidR="00EA7001" w:rsidRPr="00F16353" w:rsidRDefault="00EA7001" w:rsidP="00F16353">
            <w:pPr>
              <w:ind w:left="316" w:right="293"/>
              <w:jc w:val="both"/>
              <w:rPr>
                <w:rFonts w:ascii="Arial" w:hAnsi="Arial" w:cs="Arial"/>
                <w:sz w:val="22"/>
                <w:szCs w:val="22"/>
              </w:rPr>
            </w:pPr>
            <w:r w:rsidRPr="7793E061">
              <w:rPr>
                <w:rFonts w:ascii="Arial" w:hAnsi="Arial" w:cs="Arial"/>
                <w:sz w:val="22"/>
                <w:szCs w:val="22"/>
              </w:rPr>
              <w:t>In the 1970s</w:t>
            </w:r>
            <w:r w:rsidR="0CB48224" w:rsidRPr="7793E061">
              <w:rPr>
                <w:rFonts w:ascii="Arial" w:hAnsi="Arial" w:cs="Arial"/>
                <w:sz w:val="22"/>
                <w:szCs w:val="22"/>
              </w:rPr>
              <w:t>,</w:t>
            </w:r>
            <w:r w:rsidRPr="7793E061">
              <w:rPr>
                <w:rFonts w:ascii="Arial" w:hAnsi="Arial" w:cs="Arial"/>
                <w:sz w:val="22"/>
                <w:szCs w:val="22"/>
              </w:rPr>
              <w:t xml:space="preserve"> Britain hit an oil crisis as nations in the Middle East reclaimed and nationalised their oil rights. Middle Eastern oil went from 80% to 10% of BP’s supply. In 1975</w:t>
            </w:r>
            <w:r w:rsidR="36AAD00F" w:rsidRPr="7793E061">
              <w:rPr>
                <w:rFonts w:ascii="Arial" w:hAnsi="Arial" w:cs="Arial"/>
                <w:sz w:val="22"/>
                <w:szCs w:val="22"/>
              </w:rPr>
              <w:t>,</w:t>
            </w:r>
            <w:r w:rsidRPr="7793E061">
              <w:rPr>
                <w:rFonts w:ascii="Arial" w:hAnsi="Arial" w:cs="Arial"/>
                <w:sz w:val="22"/>
                <w:szCs w:val="22"/>
              </w:rPr>
              <w:t xml:space="preserve"> it began to extract oil from the North Sea via Scotland. Prime Minister </w:t>
            </w:r>
            <w:hyperlink r:id="rId13">
              <w:r w:rsidRPr="7793E061">
                <w:rPr>
                  <w:rFonts w:ascii="Arial" w:hAnsi="Arial" w:cs="Arial"/>
                  <w:color w:val="1155CC"/>
                  <w:sz w:val="22"/>
                  <w:szCs w:val="22"/>
                  <w:u w:val="single"/>
                </w:rPr>
                <w:t>Margaret Thatcher</w:t>
              </w:r>
            </w:hyperlink>
            <w:r w:rsidRPr="7793E061">
              <w:rPr>
                <w:rFonts w:ascii="Arial" w:hAnsi="Arial" w:cs="Arial"/>
                <w:sz w:val="22"/>
                <w:szCs w:val="22"/>
              </w:rPr>
              <w:t xml:space="preserve"> then oversaw the expansion of North Sea oil and gas, and BP privatisation.</w:t>
            </w:r>
          </w:p>
        </w:tc>
      </w:tr>
      <w:tr w:rsidR="00EA7001" w:rsidRPr="00F16353" w14:paraId="405A7BD8" w14:textId="77777777" w:rsidTr="7793E061">
        <w:trPr>
          <w:trHeight w:val="1197"/>
          <w:jc w:val="center"/>
        </w:trPr>
        <w:tc>
          <w:tcPr>
            <w:tcW w:w="10336" w:type="dxa"/>
            <w:shd w:val="clear" w:color="auto" w:fill="auto"/>
            <w:tcMar>
              <w:top w:w="100" w:type="dxa"/>
              <w:left w:w="100" w:type="dxa"/>
              <w:bottom w:w="100" w:type="dxa"/>
              <w:right w:w="100" w:type="dxa"/>
            </w:tcMar>
            <w:vAlign w:val="center"/>
          </w:tcPr>
          <w:p w14:paraId="1C6741F8" w14:textId="48F79BA6" w:rsidR="00EA7001" w:rsidRPr="00F16353" w:rsidRDefault="00EA7001" w:rsidP="00F16353">
            <w:pPr>
              <w:ind w:left="316" w:right="293"/>
              <w:jc w:val="both"/>
              <w:rPr>
                <w:rFonts w:ascii="Arial" w:hAnsi="Arial" w:cs="Arial"/>
                <w:sz w:val="22"/>
                <w:szCs w:val="22"/>
              </w:rPr>
            </w:pPr>
            <w:r w:rsidRPr="00F16353">
              <w:rPr>
                <w:rFonts w:ascii="Arial" w:hAnsi="Arial" w:cs="Arial"/>
                <w:sz w:val="22"/>
                <w:szCs w:val="22"/>
              </w:rPr>
              <w:t>Wars over control of oil-rich Middle Eastern lands have intensified this century, despite knowledge that we must reduce our consumption of oil. There are serious tensions and wars in Syria, Iran and Saudi Arabia border, Yemen, and Iraq.</w:t>
            </w:r>
          </w:p>
        </w:tc>
      </w:tr>
    </w:tbl>
    <w:p w14:paraId="38212BB0" w14:textId="77777777" w:rsidR="00EA7001" w:rsidRPr="00F16353" w:rsidRDefault="00EA7001" w:rsidP="00C77892">
      <w:pPr>
        <w:rPr>
          <w:rFonts w:ascii="Arial" w:hAnsi="Arial" w:cs="Arial"/>
        </w:rPr>
      </w:pPr>
    </w:p>
    <w:sectPr w:rsidR="00EA7001" w:rsidRPr="00F16353" w:rsidSect="00FF4FBD">
      <w:headerReference w:type="default" r:id="rId14"/>
      <w:pgSz w:w="11901" w:h="1681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8A05E" w14:textId="77777777" w:rsidR="0020001F" w:rsidRDefault="0020001F" w:rsidP="00F16353">
      <w:r>
        <w:separator/>
      </w:r>
    </w:p>
  </w:endnote>
  <w:endnote w:type="continuationSeparator" w:id="0">
    <w:p w14:paraId="013A3BFB" w14:textId="77777777" w:rsidR="0020001F" w:rsidRDefault="0020001F" w:rsidP="00F16353">
      <w:r>
        <w:continuationSeparator/>
      </w:r>
    </w:p>
  </w:endnote>
  <w:endnote w:type="continuationNotice" w:id="1">
    <w:p w14:paraId="6BD41C3D" w14:textId="77777777" w:rsidR="0020001F" w:rsidRDefault="00200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2A114" w14:textId="77777777" w:rsidR="0020001F" w:rsidRDefault="0020001F" w:rsidP="00F16353">
      <w:r>
        <w:separator/>
      </w:r>
    </w:p>
  </w:footnote>
  <w:footnote w:type="continuationSeparator" w:id="0">
    <w:p w14:paraId="3157A968" w14:textId="77777777" w:rsidR="0020001F" w:rsidRDefault="0020001F" w:rsidP="00F16353">
      <w:r>
        <w:continuationSeparator/>
      </w:r>
    </w:p>
  </w:footnote>
  <w:footnote w:type="continuationNotice" w:id="1">
    <w:p w14:paraId="38F91008" w14:textId="77777777" w:rsidR="0020001F" w:rsidRDefault="00200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D13CC" w14:textId="4C97CAB7" w:rsidR="00F16353" w:rsidRDefault="00A72FC2" w:rsidP="00F16353">
    <w:pPr>
      <w:pStyle w:val="Header"/>
      <w:jc w:val="right"/>
    </w:pPr>
    <w:r>
      <w:rPr>
        <w:noProof/>
      </w:rPr>
      <w:drawing>
        <wp:anchor distT="0" distB="0" distL="114300" distR="114300" simplePos="0" relativeHeight="251660288" behindDoc="1" locked="0" layoutInCell="1" allowOverlap="1" wp14:anchorId="7648B0EF" wp14:editId="1405558C">
          <wp:simplePos x="0" y="0"/>
          <wp:positionH relativeFrom="column">
            <wp:posOffset>5577742</wp:posOffset>
          </wp:positionH>
          <wp:positionV relativeFrom="paragraph">
            <wp:posOffset>-98815</wp:posOffset>
          </wp:positionV>
          <wp:extent cx="1176655" cy="492125"/>
          <wp:effectExtent l="0" t="0" r="4445" b="3175"/>
          <wp:wrapTight wrapText="bothSides">
            <wp:wrapPolygon edited="0">
              <wp:start x="0" y="0"/>
              <wp:lineTo x="0" y="11148"/>
              <wp:lineTo x="2331" y="17837"/>
              <wp:lineTo x="2331" y="20067"/>
              <wp:lineTo x="4896" y="21182"/>
              <wp:lineTo x="11657" y="21182"/>
              <wp:lineTo x="20749" y="21182"/>
              <wp:lineTo x="21448" y="16723"/>
              <wp:lineTo x="21448" y="6689"/>
              <wp:lineTo x="13522"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6655" cy="492125"/>
                  </a:xfrm>
                  <a:prstGeom prst="rect">
                    <a:avLst/>
                  </a:prstGeom>
                </pic:spPr>
              </pic:pic>
            </a:graphicData>
          </a:graphic>
          <wp14:sizeRelH relativeFrom="page">
            <wp14:pctWidth>0</wp14:pctWidth>
          </wp14:sizeRelH>
          <wp14:sizeRelV relativeFrom="page">
            <wp14:pctHeight>0</wp14:pctHeight>
          </wp14:sizeRelV>
        </wp:anchor>
      </w:drawing>
    </w:r>
    <w:r w:rsidR="00CD7E3C">
      <w:rPr>
        <w:noProof/>
      </w:rPr>
      <w:drawing>
        <wp:anchor distT="0" distB="0" distL="114300" distR="114300" simplePos="0" relativeHeight="251659264" behindDoc="0" locked="0" layoutInCell="1" allowOverlap="1" wp14:anchorId="503BAA2E" wp14:editId="7D4FEEBF">
          <wp:simplePos x="0" y="0"/>
          <wp:positionH relativeFrom="column">
            <wp:posOffset>4508500</wp:posOffset>
          </wp:positionH>
          <wp:positionV relativeFrom="paragraph">
            <wp:posOffset>-234950</wp:posOffset>
          </wp:positionV>
          <wp:extent cx="723862" cy="722429"/>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862" cy="7224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FF1D59"/>
    <w:multiLevelType w:val="hybridMultilevel"/>
    <w:tmpl w:val="E25EB32C"/>
    <w:lvl w:ilvl="0" w:tplc="64045310">
      <w:start w:val="1"/>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01"/>
    <w:rsid w:val="000B0DB3"/>
    <w:rsid w:val="000C21A7"/>
    <w:rsid w:val="000D20EF"/>
    <w:rsid w:val="0020001F"/>
    <w:rsid w:val="00216FFB"/>
    <w:rsid w:val="00343CF1"/>
    <w:rsid w:val="004137C2"/>
    <w:rsid w:val="00444B0D"/>
    <w:rsid w:val="00495C7F"/>
    <w:rsid w:val="00535326"/>
    <w:rsid w:val="00647548"/>
    <w:rsid w:val="0067242A"/>
    <w:rsid w:val="00732B1D"/>
    <w:rsid w:val="00781D9B"/>
    <w:rsid w:val="00813D7A"/>
    <w:rsid w:val="0088275D"/>
    <w:rsid w:val="008C28C9"/>
    <w:rsid w:val="008C4A0A"/>
    <w:rsid w:val="00A72FC2"/>
    <w:rsid w:val="00B571E1"/>
    <w:rsid w:val="00C77892"/>
    <w:rsid w:val="00CD7E3C"/>
    <w:rsid w:val="00E37E2E"/>
    <w:rsid w:val="00E70AB4"/>
    <w:rsid w:val="00EA7001"/>
    <w:rsid w:val="00F16353"/>
    <w:rsid w:val="00FC4533"/>
    <w:rsid w:val="00FF4FBD"/>
    <w:rsid w:val="0B2C9747"/>
    <w:rsid w:val="0CB48224"/>
    <w:rsid w:val="14BF3AA6"/>
    <w:rsid w:val="1926BFF2"/>
    <w:rsid w:val="232065B2"/>
    <w:rsid w:val="29D9B05B"/>
    <w:rsid w:val="2B53FBC0"/>
    <w:rsid w:val="315F378B"/>
    <w:rsid w:val="36AAD00F"/>
    <w:rsid w:val="393E7C48"/>
    <w:rsid w:val="3ED82D53"/>
    <w:rsid w:val="4606E03C"/>
    <w:rsid w:val="50147C03"/>
    <w:rsid w:val="5098AE25"/>
    <w:rsid w:val="5441DE8E"/>
    <w:rsid w:val="60F09476"/>
    <w:rsid w:val="614E7BD6"/>
    <w:rsid w:val="63B707D9"/>
    <w:rsid w:val="6590108E"/>
    <w:rsid w:val="76CEE35A"/>
    <w:rsid w:val="7793E061"/>
    <w:rsid w:val="7A631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305A72"/>
  <w15:chartTrackingRefBased/>
  <w15:docId w15:val="{40811410-D6AC-614C-ABAC-F1543E75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353"/>
    <w:pPr>
      <w:pBdr>
        <w:top w:val="nil"/>
        <w:left w:val="nil"/>
        <w:bottom w:val="nil"/>
        <w:right w:val="nil"/>
        <w:between w:val="nil"/>
        <w:bar w:val="nil"/>
      </w:pBdr>
      <w:ind w:left="720"/>
      <w:contextualSpacing/>
    </w:pPr>
    <w:rPr>
      <w:rFonts w:ascii="Times New Roman" w:eastAsia="Arial Unicode MS" w:hAnsi="Times New Roman" w:cs="Times New Roman"/>
      <w:bdr w:val="nil"/>
      <w:lang w:val="en-US"/>
    </w:rPr>
  </w:style>
  <w:style w:type="paragraph" w:styleId="Header">
    <w:name w:val="header"/>
    <w:basedOn w:val="Normal"/>
    <w:link w:val="HeaderChar"/>
    <w:uiPriority w:val="99"/>
    <w:unhideWhenUsed/>
    <w:rsid w:val="00F16353"/>
    <w:pPr>
      <w:tabs>
        <w:tab w:val="center" w:pos="4513"/>
        <w:tab w:val="right" w:pos="9026"/>
      </w:tabs>
    </w:pPr>
  </w:style>
  <w:style w:type="character" w:customStyle="1" w:styleId="HeaderChar">
    <w:name w:val="Header Char"/>
    <w:basedOn w:val="DefaultParagraphFont"/>
    <w:link w:val="Header"/>
    <w:uiPriority w:val="99"/>
    <w:rsid w:val="00F16353"/>
  </w:style>
  <w:style w:type="paragraph" w:styleId="Footer">
    <w:name w:val="footer"/>
    <w:basedOn w:val="Normal"/>
    <w:link w:val="FooterChar"/>
    <w:uiPriority w:val="99"/>
    <w:unhideWhenUsed/>
    <w:rsid w:val="00F16353"/>
    <w:pPr>
      <w:tabs>
        <w:tab w:val="center" w:pos="4513"/>
        <w:tab w:val="right" w:pos="9026"/>
      </w:tabs>
    </w:pPr>
  </w:style>
  <w:style w:type="character" w:customStyle="1" w:styleId="FooterChar">
    <w:name w:val="Footer Char"/>
    <w:basedOn w:val="DefaultParagraphFont"/>
    <w:link w:val="Footer"/>
    <w:uiPriority w:val="99"/>
    <w:rsid w:val="00F16353"/>
  </w:style>
  <w:style w:type="paragraph" w:styleId="BalloonText">
    <w:name w:val="Balloon Text"/>
    <w:basedOn w:val="Normal"/>
    <w:link w:val="BalloonTextChar"/>
    <w:uiPriority w:val="99"/>
    <w:semiHidden/>
    <w:unhideWhenUsed/>
    <w:rsid w:val="00813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pg.org.uk/collections/search/portrait/mw07953/Margaret-Hilda-Thatcher-nee-Roberts-Baroness-Thatcher?locid=53&amp;rNo=1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pg.org.uk/collections/search/person/mp56247/sir-arthur-travers-bomber-harris-1st-b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pg.org.uk/collections/search/portrait/mw01298/Winston-Churchill?locid=51&amp;wPage=1&amp;rNo=2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3432B698E529489298286F91196E35" ma:contentTypeVersion="15" ma:contentTypeDescription="Create a new document." ma:contentTypeScope="" ma:versionID="28f8fad5e20c5cd25a825a9cbf0737a1">
  <xsd:schema xmlns:xsd="http://www.w3.org/2001/XMLSchema" xmlns:xs="http://www.w3.org/2001/XMLSchema" xmlns:p="http://schemas.microsoft.com/office/2006/metadata/properties" xmlns:ns1="http://schemas.microsoft.com/sharepoint/v3" xmlns:ns2="2dfad639-5722-4cbe-b48f-5bd51493f2fb" xmlns:ns3="5c1b9bcf-16fe-4d0c-bacb-39cfe6619d01" targetNamespace="http://schemas.microsoft.com/office/2006/metadata/properties" ma:root="true" ma:fieldsID="d87ccd874830b6984aadf38aac711c4b" ns1:_="" ns2:_="" ns3:_="">
    <xsd:import namespace="http://schemas.microsoft.com/sharepoint/v3"/>
    <xsd:import namespace="2dfad639-5722-4cbe-b48f-5bd51493f2fb"/>
    <xsd:import namespace="5c1b9bcf-16fe-4d0c-bacb-39cfe6619d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ad639-5722-4cbe-b48f-5bd51493f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1b9bcf-16fe-4d0c-bacb-39cfe6619d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8FBC4-BB13-4AB2-9760-11E2467B71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2D1203-AA40-449C-A6ED-FCC1F6D1F7E8}">
  <ds:schemaRefs>
    <ds:schemaRef ds:uri="http://schemas.microsoft.com/sharepoint/v3/contenttype/forms"/>
  </ds:schemaRefs>
</ds:datastoreItem>
</file>

<file path=customXml/itemProps3.xml><?xml version="1.0" encoding="utf-8"?>
<ds:datastoreItem xmlns:ds="http://schemas.openxmlformats.org/officeDocument/2006/customXml" ds:itemID="{6F20B43C-C366-4E3C-8716-C4DA7FD4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ad639-5722-4cbe-b48f-5bd51493f2fb"/>
    <ds:schemaRef ds:uri="5c1b9bcf-16fe-4d0c-bacb-39cfe6619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Barnes</dc:creator>
  <cp:keywords/>
  <dc:description/>
  <cp:lastModifiedBy>Jim Beck</cp:lastModifiedBy>
  <cp:revision>26</cp:revision>
  <dcterms:created xsi:type="dcterms:W3CDTF">2020-12-15T16:25:00Z</dcterms:created>
  <dcterms:modified xsi:type="dcterms:W3CDTF">2021-06-28T08:57:00Z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0x0101005A3432B698E529489298286F91196E35</vt:lpwstr>
  </property>
</Properties>
</file>