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4E" w:rsidRDefault="00B25A4E" w:rsidP="000D67A8">
      <w:pPr>
        <w:rPr>
          <w:rStyle w:val="Heading2Char"/>
          <w:b/>
        </w:rPr>
      </w:pPr>
    </w:p>
    <w:p w:rsidR="00B25A4E" w:rsidRPr="00F802DC" w:rsidRDefault="00FA1E2C" w:rsidP="00B25A4E">
      <w:pPr>
        <w:pStyle w:val="NoSpacing"/>
        <w:rPr>
          <w:rFonts w:ascii="Arial" w:hAnsi="Arial" w:cs="Arial"/>
          <w:b/>
          <w:color w:val="94317D"/>
          <w:sz w:val="40"/>
          <w:szCs w:val="40"/>
        </w:rPr>
      </w:pPr>
      <w:r>
        <w:rPr>
          <w:rFonts w:ascii="Arial" w:hAnsi="Arial" w:cs="Arial"/>
          <w:b/>
          <w:color w:val="94317D"/>
          <w:sz w:val="40"/>
          <w:szCs w:val="40"/>
        </w:rPr>
        <w:t>Arts Award Data Analysis 2016-17</w:t>
      </w:r>
    </w:p>
    <w:p w:rsidR="00B25A4E" w:rsidRDefault="00B25A4E" w:rsidP="00B25A4E">
      <w:pPr>
        <w:pStyle w:val="NoSpacing"/>
        <w:rPr>
          <w:rFonts w:ascii="Arial" w:hAnsi="Arial" w:cs="Arial"/>
          <w:sz w:val="40"/>
          <w:szCs w:val="40"/>
        </w:rPr>
      </w:pPr>
    </w:p>
    <w:p w:rsidR="00B25A4E" w:rsidRPr="00FA1E2C" w:rsidRDefault="00B25A4E" w:rsidP="00B25A4E">
      <w:pPr>
        <w:pStyle w:val="NoSpacing"/>
        <w:rPr>
          <w:rFonts w:ascii="Arial" w:hAnsi="Arial" w:cs="Arial"/>
          <w:sz w:val="36"/>
          <w:szCs w:val="36"/>
        </w:rPr>
      </w:pPr>
      <w:r w:rsidRPr="00FA1E2C">
        <w:rPr>
          <w:rFonts w:ascii="Arial" w:hAnsi="Arial" w:cs="Arial"/>
          <w:sz w:val="36"/>
          <w:szCs w:val="36"/>
        </w:rPr>
        <w:t xml:space="preserve">Arts Award is a flexible framework which offers young people the chance to get involved in arts and cultural activities, develop their social and emotional capabilities, grow as artists and arts leaders and gain a qualification. </w:t>
      </w:r>
      <w:proofErr w:type="gramStart"/>
      <w:r w:rsidRPr="00FA1E2C">
        <w:rPr>
          <w:rFonts w:ascii="Arial" w:hAnsi="Arial" w:cs="Arial"/>
          <w:sz w:val="36"/>
          <w:szCs w:val="36"/>
        </w:rPr>
        <w:t>According to</w:t>
      </w:r>
      <w:proofErr w:type="gramEnd"/>
      <w:r w:rsidRPr="00FA1E2C">
        <w:rPr>
          <w:rFonts w:ascii="Arial" w:hAnsi="Arial" w:cs="Arial"/>
          <w:sz w:val="36"/>
          <w:szCs w:val="36"/>
        </w:rPr>
        <w:t xml:space="preserve"> previous research</w:t>
      </w:r>
      <w:r w:rsidR="00FA1E2C" w:rsidRPr="00FA1E2C">
        <w:rPr>
          <w:rFonts w:ascii="Arial" w:hAnsi="Arial" w:cs="Arial"/>
          <w:sz w:val="36"/>
          <w:szCs w:val="36"/>
        </w:rPr>
        <w:t xml:space="preserve">, 95% of Advisers working with young people on Arts Award reported seeing a positive impact on their self-confidence, and 90% of Young people achieving Arts award continue to feel the impact on their artistic skills several years after completing their award. 3 out of </w:t>
      </w:r>
      <w:proofErr w:type="gramStart"/>
      <w:r w:rsidR="00FA1E2C" w:rsidRPr="00FA1E2C">
        <w:rPr>
          <w:rFonts w:ascii="Arial" w:hAnsi="Arial" w:cs="Arial"/>
          <w:sz w:val="36"/>
          <w:szCs w:val="36"/>
        </w:rPr>
        <w:t>5  young</w:t>
      </w:r>
      <w:proofErr w:type="gramEnd"/>
      <w:r w:rsidR="00FA1E2C" w:rsidRPr="00FA1E2C">
        <w:rPr>
          <w:rFonts w:ascii="Arial" w:hAnsi="Arial" w:cs="Arial"/>
          <w:sz w:val="36"/>
          <w:szCs w:val="36"/>
        </w:rPr>
        <w:t xml:space="preserve"> people undertaking the award said they better understood the options for a career or further study in the arts  after completing the award. </w:t>
      </w:r>
      <w:r w:rsidR="00FA1E2C" w:rsidRPr="00FA1E2C">
        <w:rPr>
          <w:rStyle w:val="FootnoteReference"/>
          <w:rFonts w:ascii="Arial" w:hAnsi="Arial" w:cs="Arial"/>
          <w:sz w:val="36"/>
          <w:szCs w:val="36"/>
        </w:rPr>
        <w:footnoteReference w:id="1"/>
      </w:r>
      <w:r w:rsidR="00FA1E2C" w:rsidRPr="00FA1E2C">
        <w:rPr>
          <w:rFonts w:ascii="Arial" w:hAnsi="Arial" w:cs="Arial"/>
          <w:sz w:val="36"/>
          <w:szCs w:val="36"/>
        </w:rPr>
        <w:t xml:space="preserve"> </w:t>
      </w:r>
    </w:p>
    <w:p w:rsidR="00B25A4E" w:rsidRPr="00F802DC" w:rsidRDefault="00B25A4E" w:rsidP="00B25A4E">
      <w:pPr>
        <w:pStyle w:val="NoSpacing"/>
        <w:rPr>
          <w:rFonts w:ascii="Arial" w:hAnsi="Arial" w:cs="Arial"/>
          <w:sz w:val="40"/>
          <w:szCs w:val="40"/>
        </w:rPr>
      </w:pPr>
    </w:p>
    <w:p w:rsidR="00FA1E2C" w:rsidRDefault="00B25A4E" w:rsidP="00B25A4E">
      <w:pPr>
        <w:pStyle w:val="NoSpacing"/>
        <w:rPr>
          <w:rFonts w:ascii="Arial" w:hAnsi="Arial" w:cs="Arial"/>
          <w:sz w:val="36"/>
          <w:szCs w:val="36"/>
        </w:rPr>
      </w:pPr>
      <w:r w:rsidRPr="00FA1E2C">
        <w:rPr>
          <w:rFonts w:ascii="Arial" w:hAnsi="Arial" w:cs="Arial"/>
          <w:sz w:val="36"/>
          <w:szCs w:val="36"/>
        </w:rPr>
        <w:t xml:space="preserve">A New Direction seeks to ensure that Arts Award is consistently available to young people across London and that the organisations that work with them have clear plans for how their work can enable young people to progress and achieve through the arts. </w:t>
      </w:r>
      <w:proofErr w:type="gramStart"/>
      <w:r w:rsidRPr="00FA1E2C">
        <w:rPr>
          <w:rFonts w:ascii="Arial" w:hAnsi="Arial" w:cs="Arial"/>
          <w:sz w:val="36"/>
          <w:szCs w:val="36"/>
        </w:rPr>
        <w:t>In order for</w:t>
      </w:r>
      <w:proofErr w:type="gramEnd"/>
      <w:r w:rsidRPr="00FA1E2C">
        <w:rPr>
          <w:rFonts w:ascii="Arial" w:hAnsi="Arial" w:cs="Arial"/>
          <w:sz w:val="36"/>
          <w:szCs w:val="36"/>
        </w:rPr>
        <w:t xml:space="preserve"> this to happen, Arts Award needs to be accessible throughout London, with different sectors, centres and supporters working together strategically to maximise opportunities for </w:t>
      </w:r>
      <w:r w:rsidR="00FA1E2C" w:rsidRPr="00FA1E2C">
        <w:rPr>
          <w:rFonts w:ascii="Arial" w:hAnsi="Arial" w:cs="Arial"/>
          <w:sz w:val="36"/>
          <w:szCs w:val="36"/>
        </w:rPr>
        <w:t>all children and young people.</w:t>
      </w:r>
    </w:p>
    <w:p w:rsidR="00B25A4E" w:rsidRPr="00FA1E2C" w:rsidRDefault="00FA1E2C" w:rsidP="00B25A4E">
      <w:pPr>
        <w:pStyle w:val="NoSpacing"/>
        <w:rPr>
          <w:rFonts w:ascii="Arial" w:hAnsi="Arial" w:cs="Arial"/>
          <w:sz w:val="36"/>
          <w:szCs w:val="36"/>
        </w:rPr>
      </w:pPr>
      <w:r w:rsidRPr="00FA1E2C">
        <w:rPr>
          <w:rFonts w:ascii="Arial" w:hAnsi="Arial" w:cs="Arial"/>
          <w:sz w:val="36"/>
          <w:szCs w:val="36"/>
        </w:rPr>
        <w:t xml:space="preserve"> </w:t>
      </w:r>
    </w:p>
    <w:p w:rsidR="00B25A4E" w:rsidRPr="00F802DC" w:rsidRDefault="00B25A4E" w:rsidP="00B25A4E">
      <w:pPr>
        <w:pStyle w:val="NoSpacing"/>
        <w:rPr>
          <w:rFonts w:ascii="Arial" w:hAnsi="Arial" w:cs="Arial"/>
          <w:b/>
          <w:sz w:val="40"/>
          <w:szCs w:val="40"/>
        </w:rPr>
      </w:pPr>
      <w:r w:rsidRPr="00F802DC">
        <w:rPr>
          <w:rFonts w:ascii="Arial" w:hAnsi="Arial" w:cs="Arial"/>
          <w:b/>
          <w:sz w:val="40"/>
          <w:szCs w:val="40"/>
        </w:rPr>
        <w:t>The following</w:t>
      </w:r>
      <w:r w:rsidR="00FA1E2C">
        <w:rPr>
          <w:rFonts w:ascii="Arial" w:hAnsi="Arial" w:cs="Arial"/>
          <w:b/>
          <w:sz w:val="40"/>
          <w:szCs w:val="40"/>
        </w:rPr>
        <w:t xml:space="preserve"> priorities and</w:t>
      </w:r>
      <w:r w:rsidRPr="00F802DC">
        <w:rPr>
          <w:rFonts w:ascii="Arial" w:hAnsi="Arial" w:cs="Arial"/>
          <w:b/>
          <w:sz w:val="40"/>
          <w:szCs w:val="40"/>
        </w:rPr>
        <w:t xml:space="preserve"> </w:t>
      </w:r>
      <w:r w:rsidR="00175CEB">
        <w:rPr>
          <w:rFonts w:ascii="Arial" w:hAnsi="Arial" w:cs="Arial"/>
          <w:b/>
          <w:sz w:val="40"/>
          <w:szCs w:val="40"/>
        </w:rPr>
        <w:t>suggested actions</w:t>
      </w:r>
      <w:r w:rsidRPr="00F802DC">
        <w:rPr>
          <w:rFonts w:ascii="Arial" w:hAnsi="Arial" w:cs="Arial"/>
          <w:b/>
          <w:sz w:val="40"/>
          <w:szCs w:val="40"/>
        </w:rPr>
        <w:t xml:space="preserve"> are based on an analysis of Arts Award data from the London region between</w:t>
      </w:r>
      <w:r w:rsidR="00FA1E2C">
        <w:rPr>
          <w:rFonts w:ascii="Arial" w:hAnsi="Arial" w:cs="Arial"/>
          <w:b/>
          <w:sz w:val="40"/>
          <w:szCs w:val="40"/>
        </w:rPr>
        <w:t xml:space="preserve"> March 2016 and April 2017.</w:t>
      </w:r>
    </w:p>
    <w:p w:rsidR="00A62F06" w:rsidRPr="00FA1E2C" w:rsidRDefault="00C419AC" w:rsidP="00A62F06">
      <w:pPr>
        <w:pStyle w:val="ListParagraph"/>
        <w:numPr>
          <w:ilvl w:val="0"/>
          <w:numId w:val="8"/>
        </w:numPr>
        <w:rPr>
          <w:rStyle w:val="Heading2Char"/>
          <w:rFonts w:ascii="Arial" w:hAnsi="Arial" w:cs="Arial"/>
          <w:b/>
          <w:color w:val="auto"/>
          <w:sz w:val="36"/>
          <w:szCs w:val="36"/>
        </w:rPr>
      </w:pPr>
      <w:r w:rsidRPr="00FA1E2C">
        <w:rPr>
          <w:rFonts w:ascii="Arial" w:hAnsi="Arial" w:cs="Arial"/>
          <w:b/>
          <w:noProof/>
          <w:sz w:val="36"/>
          <w:szCs w:val="36"/>
          <w:lang w:eastAsia="en-GB"/>
        </w:rPr>
        <w:lastRenderedPageBreak/>
        <w:drawing>
          <wp:anchor distT="0" distB="0" distL="114300" distR="114300" simplePos="0" relativeHeight="251662336" behindDoc="0" locked="0" layoutInCell="1" allowOverlap="1">
            <wp:simplePos x="0" y="0"/>
            <wp:positionH relativeFrom="page">
              <wp:posOffset>865505</wp:posOffset>
            </wp:positionH>
            <wp:positionV relativeFrom="paragraph">
              <wp:posOffset>918210</wp:posOffset>
            </wp:positionV>
            <wp:extent cx="5829300" cy="43719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29300" cy="4371975"/>
                    </a:xfrm>
                    <a:prstGeom prst="rect">
                      <a:avLst/>
                    </a:prstGeom>
                  </pic:spPr>
                </pic:pic>
              </a:graphicData>
            </a:graphic>
            <wp14:sizeRelH relativeFrom="page">
              <wp14:pctWidth>0</wp14:pctWidth>
            </wp14:sizeRelH>
            <wp14:sizeRelV relativeFrom="page">
              <wp14:pctHeight>0</wp14:pctHeight>
            </wp14:sizeRelV>
          </wp:anchor>
        </w:drawing>
      </w:r>
      <w:r w:rsidR="00175CEB">
        <w:rPr>
          <w:rStyle w:val="Heading2Char"/>
          <w:rFonts w:ascii="Arial" w:hAnsi="Arial" w:cs="Arial"/>
          <w:b/>
          <w:color w:val="auto"/>
          <w:sz w:val="36"/>
          <w:szCs w:val="36"/>
        </w:rPr>
        <w:t>To narrow the gap</w:t>
      </w:r>
      <w:r w:rsidR="00A62F06" w:rsidRPr="00FA1E2C">
        <w:rPr>
          <w:rStyle w:val="Heading2Char"/>
          <w:rFonts w:ascii="Arial" w:hAnsi="Arial" w:cs="Arial"/>
          <w:b/>
          <w:color w:val="auto"/>
          <w:sz w:val="36"/>
          <w:szCs w:val="36"/>
        </w:rPr>
        <w:t xml:space="preserve"> in attainment and moderation of Arts Award between inner and outer London boroughs. </w:t>
      </w:r>
    </w:p>
    <w:p w:rsidR="00FA1E2C" w:rsidRDefault="00FA1E2C" w:rsidP="00A62F06">
      <w:pPr>
        <w:ind w:left="360"/>
        <w:rPr>
          <w:rStyle w:val="Heading2Char"/>
          <w:rFonts w:ascii="Arial" w:hAnsi="Arial" w:cs="Arial"/>
          <w:color w:val="auto"/>
          <w:sz w:val="28"/>
          <w:szCs w:val="28"/>
        </w:rPr>
      </w:pPr>
    </w:p>
    <w:p w:rsidR="000D67A8" w:rsidRPr="00FA1E2C" w:rsidRDefault="00175CEB" w:rsidP="00A62F06">
      <w:pPr>
        <w:ind w:left="360"/>
        <w:rPr>
          <w:rStyle w:val="Heading2Char"/>
          <w:rFonts w:ascii="Arial" w:hAnsi="Arial" w:cs="Arial"/>
          <w:color w:val="auto"/>
          <w:sz w:val="28"/>
          <w:szCs w:val="28"/>
        </w:rPr>
      </w:pPr>
      <w:r>
        <w:rPr>
          <w:rStyle w:val="Heading2Char"/>
          <w:rFonts w:ascii="Arial" w:hAnsi="Arial" w:cs="Arial"/>
          <w:color w:val="auto"/>
          <w:sz w:val="28"/>
          <w:szCs w:val="28"/>
        </w:rPr>
        <w:t xml:space="preserve">Inner </w:t>
      </w:r>
      <w:r w:rsidR="00A62F06" w:rsidRPr="00FA1E2C">
        <w:rPr>
          <w:rStyle w:val="Heading2Char"/>
          <w:rFonts w:ascii="Arial" w:hAnsi="Arial" w:cs="Arial"/>
          <w:color w:val="auto"/>
          <w:sz w:val="28"/>
          <w:szCs w:val="28"/>
        </w:rPr>
        <w:t xml:space="preserve">London boroughs </w:t>
      </w:r>
      <w:r>
        <w:rPr>
          <w:rStyle w:val="Heading2Char"/>
          <w:rFonts w:ascii="Arial" w:hAnsi="Arial" w:cs="Arial"/>
          <w:color w:val="auto"/>
          <w:sz w:val="28"/>
          <w:szCs w:val="28"/>
        </w:rPr>
        <w:t xml:space="preserve">are currently delivering a high proportion of Arts award, however across the board there are many neighbouring boroughs where best practice could be shared between boroughs delivering many Arts Awards and those who are delivering less. </w:t>
      </w:r>
    </w:p>
    <w:p w:rsidR="00A62F06" w:rsidRPr="00FA1E2C" w:rsidRDefault="00175CEB" w:rsidP="00A62F06">
      <w:pPr>
        <w:ind w:left="360"/>
        <w:rPr>
          <w:rStyle w:val="Heading2Char"/>
          <w:rFonts w:ascii="Arial" w:hAnsi="Arial" w:cs="Arial"/>
          <w:b/>
          <w:color w:val="auto"/>
          <w:sz w:val="28"/>
          <w:szCs w:val="28"/>
        </w:rPr>
      </w:pPr>
      <w:r>
        <w:rPr>
          <w:rStyle w:val="Heading2Char"/>
          <w:rFonts w:ascii="Arial" w:hAnsi="Arial" w:cs="Arial"/>
          <w:b/>
          <w:color w:val="auto"/>
          <w:sz w:val="28"/>
          <w:szCs w:val="28"/>
        </w:rPr>
        <w:t>Ac</w:t>
      </w:r>
      <w:r w:rsidR="00A62F06" w:rsidRPr="00FA1E2C">
        <w:rPr>
          <w:rStyle w:val="Heading2Char"/>
          <w:rFonts w:ascii="Arial" w:hAnsi="Arial" w:cs="Arial"/>
          <w:b/>
          <w:color w:val="auto"/>
          <w:sz w:val="28"/>
          <w:szCs w:val="28"/>
        </w:rPr>
        <w:t xml:space="preserve">tions: </w:t>
      </w:r>
    </w:p>
    <w:p w:rsidR="00A62F06" w:rsidRPr="00FA1E2C" w:rsidRDefault="00A62F06" w:rsidP="00A62F06">
      <w:pPr>
        <w:ind w:left="360"/>
        <w:rPr>
          <w:rStyle w:val="Heading2Char"/>
          <w:rFonts w:ascii="Arial" w:hAnsi="Arial" w:cs="Arial"/>
          <w:color w:val="auto"/>
          <w:sz w:val="28"/>
          <w:szCs w:val="28"/>
        </w:rPr>
      </w:pPr>
      <w:r w:rsidRPr="00FA1E2C">
        <w:rPr>
          <w:rStyle w:val="Heading2Char"/>
          <w:rFonts w:ascii="Arial" w:hAnsi="Arial" w:cs="Arial"/>
          <w:color w:val="auto"/>
          <w:sz w:val="28"/>
          <w:szCs w:val="28"/>
        </w:rPr>
        <w:t>A New Direction advocates sharing best practice and networks beyond borough boundaries and sharing the wealth of expertise gai</w:t>
      </w:r>
      <w:r w:rsidR="00175CEB">
        <w:rPr>
          <w:rStyle w:val="Heading2Char"/>
          <w:rFonts w:ascii="Arial" w:hAnsi="Arial" w:cs="Arial"/>
          <w:color w:val="auto"/>
          <w:sz w:val="28"/>
          <w:szCs w:val="28"/>
        </w:rPr>
        <w:t>ned through successful deliver through Local Network Clusters, and previous via Local Area Networks.</w:t>
      </w:r>
      <w:r w:rsidRPr="00FA1E2C">
        <w:rPr>
          <w:rStyle w:val="Heading2Char"/>
          <w:rFonts w:ascii="Arial" w:hAnsi="Arial" w:cs="Arial"/>
          <w:color w:val="auto"/>
          <w:sz w:val="28"/>
          <w:szCs w:val="28"/>
        </w:rPr>
        <w:t xml:space="preserve"> A New Direction can help to map and understand the cultural work and partnerships being forged in your area and neighbouring boroughs. </w:t>
      </w:r>
      <w:hyperlink r:id="rId8" w:anchor="organisations" w:history="1">
        <w:r w:rsidRPr="00FA1E2C">
          <w:rPr>
            <w:rStyle w:val="Hyperlink"/>
            <w:rFonts w:ascii="Arial" w:eastAsiaTheme="majorEastAsia" w:hAnsi="Arial" w:cs="Arial"/>
            <w:color w:val="auto"/>
            <w:sz w:val="28"/>
            <w:szCs w:val="28"/>
          </w:rPr>
          <w:t>See here for the Connected London Map</w:t>
        </w:r>
      </w:hyperlink>
      <w:r w:rsidRPr="00FA1E2C">
        <w:rPr>
          <w:rStyle w:val="Heading2Char"/>
          <w:rFonts w:ascii="Arial" w:hAnsi="Arial" w:cs="Arial"/>
          <w:color w:val="auto"/>
          <w:sz w:val="28"/>
          <w:szCs w:val="28"/>
        </w:rPr>
        <w:t xml:space="preserve"> </w:t>
      </w:r>
    </w:p>
    <w:p w:rsidR="00A62F06" w:rsidRPr="00FA1E2C" w:rsidRDefault="00A62F06" w:rsidP="000D67A8">
      <w:pPr>
        <w:rPr>
          <w:rStyle w:val="Heading2Char"/>
          <w:rFonts w:ascii="Arial" w:hAnsi="Arial" w:cs="Arial"/>
          <w:color w:val="auto"/>
          <w:sz w:val="28"/>
          <w:szCs w:val="28"/>
        </w:rPr>
      </w:pPr>
    </w:p>
    <w:p w:rsidR="00A62F06" w:rsidRDefault="00A62F06" w:rsidP="000D67A8">
      <w:pPr>
        <w:rPr>
          <w:rStyle w:val="Heading2Char"/>
        </w:rPr>
      </w:pPr>
    </w:p>
    <w:p w:rsidR="00A62F06" w:rsidRDefault="00A62F06" w:rsidP="000D67A8">
      <w:pPr>
        <w:rPr>
          <w:rStyle w:val="Heading2Char"/>
        </w:rPr>
      </w:pPr>
    </w:p>
    <w:p w:rsidR="00A62F06" w:rsidRDefault="00A62F06" w:rsidP="000D67A8">
      <w:pPr>
        <w:rPr>
          <w:rStyle w:val="Heading2Char"/>
        </w:rPr>
      </w:pPr>
    </w:p>
    <w:p w:rsidR="00A62F06" w:rsidRPr="00FA1E2C" w:rsidRDefault="00A62F06" w:rsidP="000D67A8">
      <w:pPr>
        <w:rPr>
          <w:rStyle w:val="Heading2Char"/>
          <w:rFonts w:ascii="Arial" w:hAnsi="Arial" w:cs="Arial"/>
          <w:color w:val="auto"/>
        </w:rPr>
      </w:pPr>
    </w:p>
    <w:p w:rsidR="00FA1E2C" w:rsidRDefault="00FA1E2C" w:rsidP="00A62F06">
      <w:pPr>
        <w:pStyle w:val="ListParagraph"/>
        <w:numPr>
          <w:ilvl w:val="0"/>
          <w:numId w:val="8"/>
        </w:numPr>
        <w:rPr>
          <w:rStyle w:val="Heading2Char"/>
          <w:rFonts w:ascii="Arial" w:hAnsi="Arial" w:cs="Arial"/>
          <w:color w:val="auto"/>
        </w:rPr>
      </w:pPr>
      <w:r w:rsidRPr="00FA1E2C">
        <w:rPr>
          <w:rStyle w:val="Heading2Char"/>
          <w:rFonts w:ascii="Arial" w:hAnsi="Arial" w:cs="Arial"/>
          <w:b/>
          <w:color w:val="auto"/>
          <w:sz w:val="36"/>
          <w:szCs w:val="36"/>
        </w:rPr>
        <w:lastRenderedPageBreak/>
        <w:t>Make a case for e</w:t>
      </w:r>
      <w:r w:rsidR="00A62F06" w:rsidRPr="00FA1E2C">
        <w:rPr>
          <w:rStyle w:val="Heading2Char"/>
          <w:rFonts w:ascii="Arial" w:hAnsi="Arial" w:cs="Arial"/>
          <w:b/>
          <w:color w:val="auto"/>
          <w:sz w:val="36"/>
          <w:szCs w:val="36"/>
        </w:rPr>
        <w:t xml:space="preserve">nhanced support and partnerships with </w:t>
      </w:r>
      <w:r w:rsidR="00C419AC" w:rsidRPr="00FA1E2C">
        <w:rPr>
          <w:rStyle w:val="Heading2Char"/>
          <w:rFonts w:ascii="Arial" w:hAnsi="Arial" w:cs="Arial"/>
          <w:b/>
          <w:color w:val="auto"/>
          <w:sz w:val="36"/>
          <w:szCs w:val="36"/>
        </w:rPr>
        <w:t>youth and informal sector</w:t>
      </w:r>
      <w:r w:rsidR="00A62F06" w:rsidRPr="00FA1E2C">
        <w:rPr>
          <w:rStyle w:val="Heading2Char"/>
          <w:rFonts w:ascii="Arial" w:hAnsi="Arial" w:cs="Arial"/>
          <w:b/>
          <w:color w:val="auto"/>
          <w:sz w:val="36"/>
          <w:szCs w:val="36"/>
        </w:rPr>
        <w:t>s</w:t>
      </w:r>
      <w:r w:rsidR="00A62F06" w:rsidRPr="00FA1E2C">
        <w:rPr>
          <w:rStyle w:val="Heading2Char"/>
          <w:rFonts w:ascii="Arial" w:hAnsi="Arial" w:cs="Arial"/>
          <w:color w:val="auto"/>
        </w:rPr>
        <w:t xml:space="preserve">. </w:t>
      </w:r>
    </w:p>
    <w:p w:rsidR="00FA1E2C" w:rsidRDefault="00F73270" w:rsidP="00FA1E2C">
      <w:pPr>
        <w:pStyle w:val="ListParagraph"/>
        <w:rPr>
          <w:rStyle w:val="Heading2Char"/>
          <w:rFonts w:ascii="Arial" w:hAnsi="Arial" w:cs="Arial"/>
          <w:color w:val="auto"/>
          <w:sz w:val="28"/>
          <w:szCs w:val="28"/>
        </w:rPr>
      </w:pPr>
      <w:r w:rsidRPr="00FA1E2C">
        <w:rPr>
          <w:rStyle w:val="Heading2Char"/>
          <w:rFonts w:ascii="Arial" w:hAnsi="Arial" w:cs="Arial"/>
          <w:b/>
          <w:noProof/>
          <w:color w:val="auto"/>
          <w:sz w:val="36"/>
          <w:szCs w:val="36"/>
          <w:lang w:eastAsia="en-GB"/>
        </w:rPr>
        <w:drawing>
          <wp:anchor distT="0" distB="0" distL="114300" distR="114300" simplePos="0" relativeHeight="251666432" behindDoc="0" locked="0" layoutInCell="1" allowOverlap="1">
            <wp:simplePos x="0" y="0"/>
            <wp:positionH relativeFrom="margin">
              <wp:posOffset>-585470</wp:posOffset>
            </wp:positionH>
            <wp:positionV relativeFrom="paragraph">
              <wp:posOffset>355600</wp:posOffset>
            </wp:positionV>
            <wp:extent cx="6565900" cy="4924425"/>
            <wp:effectExtent l="0" t="0" r="635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65900" cy="4924425"/>
                    </a:xfrm>
                    <a:prstGeom prst="rect">
                      <a:avLst/>
                    </a:prstGeom>
                  </pic:spPr>
                </pic:pic>
              </a:graphicData>
            </a:graphic>
            <wp14:sizeRelH relativeFrom="page">
              <wp14:pctWidth>0</wp14:pctWidth>
            </wp14:sizeRelH>
            <wp14:sizeRelV relativeFrom="page">
              <wp14:pctHeight>0</wp14:pctHeight>
            </wp14:sizeRelV>
          </wp:anchor>
        </w:drawing>
      </w:r>
    </w:p>
    <w:p w:rsidR="001D3332" w:rsidRDefault="001D3332" w:rsidP="00A62F06">
      <w:pPr>
        <w:rPr>
          <w:rStyle w:val="Heading2Char"/>
          <w:rFonts w:ascii="Arial" w:hAnsi="Arial" w:cs="Arial"/>
          <w:color w:val="auto"/>
          <w:sz w:val="28"/>
          <w:szCs w:val="28"/>
        </w:rPr>
      </w:pPr>
      <w:r>
        <w:rPr>
          <w:rStyle w:val="Heading2Char"/>
          <w:rFonts w:ascii="Arial" w:hAnsi="Arial" w:cs="Arial"/>
          <w:color w:val="auto"/>
          <w:sz w:val="28"/>
          <w:szCs w:val="28"/>
        </w:rPr>
        <w:t xml:space="preserve">Despite Non-formal education (youth and community settings) making up 22% of Arts Award centres, this translates to 7% delivering moderations, which is one of the lowest of the above sub-sector groupings. </w:t>
      </w:r>
    </w:p>
    <w:p w:rsidR="00A62F06" w:rsidRPr="0042208E" w:rsidRDefault="00A62F06" w:rsidP="00A62F06">
      <w:pPr>
        <w:rPr>
          <w:rStyle w:val="Heading2Char"/>
          <w:rFonts w:ascii="Arial" w:hAnsi="Arial" w:cs="Arial"/>
          <w:color w:val="auto"/>
          <w:sz w:val="28"/>
          <w:szCs w:val="28"/>
        </w:rPr>
      </w:pPr>
      <w:r w:rsidRPr="00FA1E2C">
        <w:rPr>
          <w:rStyle w:val="Heading2Char"/>
          <w:rFonts w:ascii="Arial" w:hAnsi="Arial" w:cs="Arial"/>
          <w:color w:val="auto"/>
          <w:sz w:val="28"/>
          <w:szCs w:val="28"/>
        </w:rPr>
        <w:t xml:space="preserve">This may reflect a </w:t>
      </w:r>
      <w:r w:rsidR="001D3332" w:rsidRPr="00FA1E2C">
        <w:rPr>
          <w:rStyle w:val="Heading2Char"/>
          <w:rFonts w:ascii="Arial" w:hAnsi="Arial" w:cs="Arial"/>
          <w:color w:val="auto"/>
          <w:sz w:val="28"/>
          <w:szCs w:val="28"/>
        </w:rPr>
        <w:t xml:space="preserve">challenging </w:t>
      </w:r>
      <w:r w:rsidR="001D3332">
        <w:rPr>
          <w:rStyle w:val="Heading2Char"/>
          <w:rFonts w:ascii="Arial" w:hAnsi="Arial" w:cs="Arial"/>
          <w:color w:val="auto"/>
          <w:sz w:val="28"/>
          <w:szCs w:val="28"/>
        </w:rPr>
        <w:t>climate for services.</w:t>
      </w:r>
    </w:p>
    <w:p w:rsidR="00A62F06" w:rsidRPr="00FA1E2C" w:rsidRDefault="001D3332" w:rsidP="00A62F06">
      <w:pPr>
        <w:rPr>
          <w:rStyle w:val="Heading2Char"/>
          <w:rFonts w:ascii="Arial" w:hAnsi="Arial" w:cs="Arial"/>
          <w:b/>
          <w:color w:val="auto"/>
          <w:sz w:val="28"/>
          <w:szCs w:val="28"/>
        </w:rPr>
      </w:pPr>
      <w:r>
        <w:rPr>
          <w:rStyle w:val="Heading2Char"/>
          <w:rFonts w:ascii="Arial" w:hAnsi="Arial" w:cs="Arial"/>
          <w:b/>
          <w:color w:val="auto"/>
          <w:sz w:val="28"/>
          <w:szCs w:val="28"/>
        </w:rPr>
        <w:t>Ac</w:t>
      </w:r>
      <w:r w:rsidR="00A62F06" w:rsidRPr="00FA1E2C">
        <w:rPr>
          <w:rStyle w:val="Heading2Char"/>
          <w:rFonts w:ascii="Arial" w:hAnsi="Arial" w:cs="Arial"/>
          <w:b/>
          <w:color w:val="auto"/>
          <w:sz w:val="28"/>
          <w:szCs w:val="28"/>
        </w:rPr>
        <w:t xml:space="preserve">tions: </w:t>
      </w:r>
    </w:p>
    <w:p w:rsidR="00A62F06" w:rsidRPr="00FA1E2C" w:rsidRDefault="00A62F06" w:rsidP="00A62F06">
      <w:pPr>
        <w:rPr>
          <w:rStyle w:val="Heading2Char"/>
          <w:rFonts w:ascii="Arial" w:hAnsi="Arial" w:cs="Arial"/>
          <w:color w:val="auto"/>
          <w:sz w:val="28"/>
          <w:szCs w:val="28"/>
        </w:rPr>
      </w:pPr>
      <w:r w:rsidRPr="00FA1E2C">
        <w:rPr>
          <w:rStyle w:val="Heading2Char"/>
          <w:rFonts w:ascii="Arial" w:hAnsi="Arial" w:cs="Arial"/>
          <w:color w:val="auto"/>
          <w:sz w:val="28"/>
          <w:szCs w:val="28"/>
        </w:rPr>
        <w:t>Exploring the role of arts organisations and corporate creative agencies in bridging the gap</w:t>
      </w:r>
      <w:r w:rsidR="001D3332">
        <w:rPr>
          <w:rStyle w:val="Heading2Char"/>
          <w:rFonts w:ascii="Arial" w:hAnsi="Arial" w:cs="Arial"/>
          <w:color w:val="auto"/>
          <w:sz w:val="28"/>
          <w:szCs w:val="28"/>
        </w:rPr>
        <w:t xml:space="preserve"> of Arts A</w:t>
      </w:r>
      <w:r w:rsidR="00B25A4E" w:rsidRPr="00FA1E2C">
        <w:rPr>
          <w:rStyle w:val="Heading2Char"/>
          <w:rFonts w:ascii="Arial" w:hAnsi="Arial" w:cs="Arial"/>
          <w:color w:val="auto"/>
          <w:sz w:val="28"/>
          <w:szCs w:val="28"/>
        </w:rPr>
        <w:t xml:space="preserve">ward delivery and making a case for partnership from the youth and informal sector to partnership working to deliver Arts award.  </w:t>
      </w:r>
      <w:r w:rsidR="001D3332">
        <w:rPr>
          <w:rStyle w:val="Heading2Char"/>
          <w:rFonts w:ascii="Arial" w:hAnsi="Arial" w:cs="Arial"/>
          <w:color w:val="auto"/>
          <w:sz w:val="28"/>
          <w:szCs w:val="28"/>
        </w:rPr>
        <w:t xml:space="preserve">A New Direction will undertake Area Action research in areas of low Arts Award delivery with non-formal education settings to understand more about the challenges and opportunities that exist within the sector, and how best to support work in the area. A New Direction will also work with Arts Award Local Network Clusters to encourage best practice sharing across boroughs and non-formal settings to provide additional support, and forge new partnerships. </w:t>
      </w:r>
    </w:p>
    <w:p w:rsidR="00B25A4E" w:rsidRDefault="00B25A4E" w:rsidP="000D67A8">
      <w:pPr>
        <w:rPr>
          <w:rStyle w:val="Heading2Char"/>
        </w:rPr>
      </w:pPr>
    </w:p>
    <w:p w:rsidR="00C419AC" w:rsidRPr="00FA1E2C" w:rsidRDefault="00FA1E2C" w:rsidP="00B25A4E">
      <w:pPr>
        <w:pStyle w:val="ListParagraph"/>
        <w:numPr>
          <w:ilvl w:val="0"/>
          <w:numId w:val="8"/>
        </w:numPr>
        <w:rPr>
          <w:rStyle w:val="Heading2Char"/>
          <w:rFonts w:ascii="Arial" w:hAnsi="Arial" w:cs="Arial"/>
          <w:b/>
          <w:color w:val="auto"/>
          <w:sz w:val="36"/>
          <w:szCs w:val="36"/>
        </w:rPr>
      </w:pPr>
      <w:r w:rsidRPr="00FA1E2C">
        <w:rPr>
          <w:rStyle w:val="Heading2Char"/>
          <w:rFonts w:ascii="Arial" w:hAnsi="Arial" w:cs="Arial"/>
          <w:b/>
          <w:color w:val="auto"/>
          <w:sz w:val="36"/>
          <w:szCs w:val="36"/>
        </w:rPr>
        <w:lastRenderedPageBreak/>
        <w:t>To explore e</w:t>
      </w:r>
      <w:r w:rsidR="00B25A4E" w:rsidRPr="00FA1E2C">
        <w:rPr>
          <w:rStyle w:val="Heading2Char"/>
          <w:rFonts w:ascii="Arial" w:hAnsi="Arial" w:cs="Arial"/>
          <w:b/>
          <w:color w:val="auto"/>
          <w:sz w:val="36"/>
          <w:szCs w:val="36"/>
        </w:rPr>
        <w:t>nhanced support and partnerships with Music Hubs, Libraries and Heritage organisations</w:t>
      </w:r>
    </w:p>
    <w:p w:rsidR="00F73270" w:rsidRDefault="00F73270" w:rsidP="00B25A4E">
      <w:pPr>
        <w:rPr>
          <w:rStyle w:val="Heading2Char"/>
          <w:rFonts w:ascii="Arial" w:hAnsi="Arial" w:cs="Arial"/>
          <w:color w:val="auto"/>
          <w:sz w:val="28"/>
          <w:szCs w:val="28"/>
        </w:rPr>
      </w:pPr>
      <w:r>
        <w:rPr>
          <w:rStyle w:val="Heading2Char"/>
          <w:rFonts w:ascii="Arial" w:hAnsi="Arial" w:cs="Arial"/>
          <w:color w:val="auto"/>
          <w:sz w:val="28"/>
          <w:szCs w:val="28"/>
        </w:rPr>
        <w:t xml:space="preserve">Libraries Music Hubs and Heritage organisations are delivering 11% of Arts award in the Arts and Cultural organisations sub sector, in comparison with Arts and media organisations at 25%. Building capacity across the sector is integral to growing opportunities for young people to access </w:t>
      </w:r>
      <w:r w:rsidR="00E52CE9">
        <w:rPr>
          <w:rStyle w:val="Heading2Char"/>
          <w:rFonts w:ascii="Arial" w:hAnsi="Arial" w:cs="Arial"/>
          <w:color w:val="auto"/>
          <w:sz w:val="28"/>
          <w:szCs w:val="28"/>
        </w:rPr>
        <w:t xml:space="preserve">Arts Award.  We believed Music Hibs, Libraries and Heritage Organisations are important within this landscape and are keen to explore ways in which we can support them to develop their Arts Award offer. </w:t>
      </w:r>
    </w:p>
    <w:p w:rsidR="00F73270" w:rsidRDefault="00F73270" w:rsidP="00B25A4E">
      <w:pPr>
        <w:rPr>
          <w:rStyle w:val="Heading2Char"/>
          <w:rFonts w:ascii="Arial" w:hAnsi="Arial" w:cs="Arial"/>
          <w:color w:val="auto"/>
          <w:sz w:val="28"/>
          <w:szCs w:val="28"/>
        </w:rPr>
      </w:pPr>
    </w:p>
    <w:p w:rsidR="00B25A4E" w:rsidRPr="00FA1E2C" w:rsidRDefault="00F73270" w:rsidP="00B25A4E">
      <w:pPr>
        <w:rPr>
          <w:rStyle w:val="Heading2Char"/>
          <w:rFonts w:ascii="Arial" w:hAnsi="Arial" w:cs="Arial"/>
          <w:b/>
          <w:color w:val="auto"/>
          <w:sz w:val="28"/>
          <w:szCs w:val="28"/>
        </w:rPr>
      </w:pPr>
      <w:r>
        <w:rPr>
          <w:rStyle w:val="Heading2Char"/>
          <w:rFonts w:ascii="Arial" w:hAnsi="Arial" w:cs="Arial"/>
          <w:b/>
          <w:color w:val="auto"/>
          <w:sz w:val="28"/>
          <w:szCs w:val="28"/>
        </w:rPr>
        <w:t>Ac</w:t>
      </w:r>
      <w:r w:rsidR="00B25A4E" w:rsidRPr="00FA1E2C">
        <w:rPr>
          <w:rStyle w:val="Heading2Char"/>
          <w:rFonts w:ascii="Arial" w:hAnsi="Arial" w:cs="Arial"/>
          <w:b/>
          <w:color w:val="auto"/>
          <w:sz w:val="28"/>
          <w:szCs w:val="28"/>
        </w:rPr>
        <w:t xml:space="preserve">tions: </w:t>
      </w:r>
    </w:p>
    <w:p w:rsidR="00B25A4E" w:rsidRPr="00FA1E2C" w:rsidRDefault="00B25A4E" w:rsidP="00B25A4E">
      <w:pPr>
        <w:pStyle w:val="ListParagraph"/>
        <w:numPr>
          <w:ilvl w:val="0"/>
          <w:numId w:val="10"/>
        </w:numPr>
        <w:rPr>
          <w:rStyle w:val="Heading2Char"/>
          <w:rFonts w:ascii="Arial" w:hAnsi="Arial" w:cs="Arial"/>
          <w:color w:val="auto"/>
          <w:sz w:val="28"/>
          <w:szCs w:val="28"/>
        </w:rPr>
      </w:pPr>
      <w:r w:rsidRPr="00FA1E2C">
        <w:rPr>
          <w:rStyle w:val="Heading2Char"/>
          <w:rFonts w:ascii="Arial" w:hAnsi="Arial" w:cs="Arial"/>
          <w:color w:val="auto"/>
          <w:sz w:val="28"/>
          <w:szCs w:val="28"/>
        </w:rPr>
        <w:t xml:space="preserve">To utilise the Museums Learning Group at A New Direction to learn and implement best practice. </w:t>
      </w:r>
    </w:p>
    <w:p w:rsidR="00B25A4E" w:rsidRDefault="00B25A4E" w:rsidP="00B25A4E">
      <w:pPr>
        <w:pStyle w:val="ListParagraph"/>
        <w:numPr>
          <w:ilvl w:val="0"/>
          <w:numId w:val="10"/>
        </w:numPr>
        <w:rPr>
          <w:rStyle w:val="Heading2Char"/>
          <w:rFonts w:ascii="Arial" w:hAnsi="Arial" w:cs="Arial"/>
          <w:color w:val="auto"/>
          <w:sz w:val="28"/>
          <w:szCs w:val="28"/>
        </w:rPr>
      </w:pPr>
      <w:r w:rsidRPr="00FA1E2C">
        <w:rPr>
          <w:rStyle w:val="Heading2Char"/>
          <w:rFonts w:ascii="Arial" w:hAnsi="Arial" w:cs="Arial"/>
          <w:color w:val="auto"/>
          <w:sz w:val="28"/>
          <w:szCs w:val="28"/>
        </w:rPr>
        <w:t xml:space="preserve">To understand the </w:t>
      </w:r>
      <w:r w:rsidR="00C64280" w:rsidRPr="00FA1E2C">
        <w:rPr>
          <w:rStyle w:val="Heading2Char"/>
          <w:rFonts w:ascii="Arial" w:hAnsi="Arial" w:cs="Arial"/>
          <w:color w:val="auto"/>
          <w:sz w:val="28"/>
          <w:szCs w:val="28"/>
        </w:rPr>
        <w:t>crucial role</w:t>
      </w:r>
      <w:r w:rsidRPr="00FA1E2C">
        <w:rPr>
          <w:rStyle w:val="Heading2Char"/>
          <w:rFonts w:ascii="Arial" w:hAnsi="Arial" w:cs="Arial"/>
          <w:color w:val="auto"/>
          <w:sz w:val="28"/>
          <w:szCs w:val="28"/>
        </w:rPr>
        <w:t xml:space="preserve"> that Music Hubs, Museums and Libraries hav</w:t>
      </w:r>
      <w:r w:rsidR="00C64280">
        <w:rPr>
          <w:rStyle w:val="Heading2Char"/>
          <w:rFonts w:ascii="Arial" w:hAnsi="Arial" w:cs="Arial"/>
          <w:color w:val="auto"/>
          <w:sz w:val="28"/>
          <w:szCs w:val="28"/>
        </w:rPr>
        <w:t xml:space="preserve">e in Cultural Education Partnerships strategy </w:t>
      </w:r>
      <w:r w:rsidR="00E52CE9">
        <w:rPr>
          <w:rStyle w:val="Heading2Char"/>
          <w:rFonts w:ascii="Arial" w:hAnsi="Arial" w:cs="Arial"/>
          <w:color w:val="auto"/>
          <w:sz w:val="28"/>
          <w:szCs w:val="28"/>
        </w:rPr>
        <w:t>and delivery outputs and works that support strong partnerships</w:t>
      </w:r>
    </w:p>
    <w:p w:rsidR="00E52CE9" w:rsidRPr="00E52CE9" w:rsidRDefault="00E52CE9" w:rsidP="00E52CE9">
      <w:pPr>
        <w:pStyle w:val="ListParagraph"/>
        <w:numPr>
          <w:ilvl w:val="0"/>
          <w:numId w:val="10"/>
        </w:numPr>
        <w:rPr>
          <w:rStyle w:val="Heading2Char"/>
          <w:rFonts w:ascii="Arial" w:hAnsi="Arial" w:cs="Arial"/>
          <w:color w:val="auto"/>
          <w:sz w:val="28"/>
          <w:szCs w:val="28"/>
        </w:rPr>
      </w:pPr>
      <w:r>
        <w:rPr>
          <w:rStyle w:val="Heading2Char"/>
          <w:rFonts w:ascii="Arial" w:hAnsi="Arial" w:cs="Arial"/>
          <w:color w:val="auto"/>
          <w:sz w:val="28"/>
          <w:szCs w:val="28"/>
        </w:rPr>
        <w:t xml:space="preserve">To work within the Local Network Clusters to support activity with Music Hubs, Libraries and Heritage organisations, across boroughs. </w:t>
      </w:r>
    </w:p>
    <w:p w:rsidR="00B25A4E" w:rsidRPr="00FA1E2C" w:rsidRDefault="00B25A4E" w:rsidP="00B25A4E">
      <w:pPr>
        <w:rPr>
          <w:rStyle w:val="Heading2Char"/>
          <w:rFonts w:ascii="Arial" w:hAnsi="Arial" w:cs="Arial"/>
          <w:color w:val="auto"/>
          <w:sz w:val="28"/>
          <w:szCs w:val="28"/>
        </w:rPr>
      </w:pPr>
    </w:p>
    <w:p w:rsidR="00424030" w:rsidRPr="00705BA1" w:rsidRDefault="00C64280" w:rsidP="00705BA1">
      <w:pPr>
        <w:pStyle w:val="ListParagraph"/>
        <w:numPr>
          <w:ilvl w:val="0"/>
          <w:numId w:val="8"/>
        </w:numPr>
        <w:rPr>
          <w:rStyle w:val="Heading2Char"/>
          <w:rFonts w:ascii="Arial" w:hAnsi="Arial" w:cs="Arial"/>
          <w:b/>
          <w:color w:val="auto"/>
          <w:sz w:val="36"/>
          <w:szCs w:val="36"/>
        </w:rPr>
      </w:pPr>
      <w:r w:rsidRPr="00C64280">
        <w:rPr>
          <w:rFonts w:ascii="Arial" w:eastAsiaTheme="majorEastAsia" w:hAnsi="Arial" w:cs="Arial"/>
          <w:noProof/>
          <w:sz w:val="26"/>
          <w:szCs w:val="26"/>
          <w:lang w:eastAsia="en-GB"/>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1035685</wp:posOffset>
            </wp:positionV>
            <wp:extent cx="5972175" cy="4479131"/>
            <wp:effectExtent l="0" t="0" r="0" b="0"/>
            <wp:wrapTight wrapText="bothSides">
              <wp:wrapPolygon edited="0">
                <wp:start x="0" y="0"/>
                <wp:lineTo x="0" y="21499"/>
                <wp:lineTo x="21497" y="21499"/>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72175" cy="4479131"/>
                    </a:xfrm>
                    <a:prstGeom prst="rect">
                      <a:avLst/>
                    </a:prstGeom>
                  </pic:spPr>
                </pic:pic>
              </a:graphicData>
            </a:graphic>
          </wp:anchor>
        </w:drawing>
      </w:r>
      <w:r w:rsidRPr="00C64280">
        <w:rPr>
          <w:rStyle w:val="Heading2Char"/>
          <w:rFonts w:ascii="Arial" w:hAnsi="Arial" w:cs="Arial"/>
          <w:b/>
          <w:color w:val="auto"/>
          <w:sz w:val="36"/>
          <w:szCs w:val="36"/>
        </w:rPr>
        <w:t xml:space="preserve">To explore and embed broader progression </w:t>
      </w:r>
      <w:r>
        <w:rPr>
          <w:rStyle w:val="Heading2Char"/>
          <w:rFonts w:ascii="Arial" w:hAnsi="Arial" w:cs="Arial"/>
          <w:b/>
          <w:color w:val="auto"/>
          <w:sz w:val="36"/>
          <w:szCs w:val="36"/>
        </w:rPr>
        <w:t>routes for Arts Award</w:t>
      </w:r>
      <w:r w:rsidRPr="00C64280">
        <w:rPr>
          <w:rStyle w:val="Heading2Char"/>
          <w:rFonts w:ascii="Arial" w:hAnsi="Arial" w:cs="Arial"/>
          <w:b/>
          <w:color w:val="auto"/>
          <w:sz w:val="36"/>
          <w:szCs w:val="36"/>
        </w:rPr>
        <w:t xml:space="preserve"> across boroughs</w:t>
      </w:r>
      <w:r w:rsidR="00424030">
        <w:rPr>
          <w:rStyle w:val="Heading2Char"/>
          <w:rFonts w:ascii="Arial" w:hAnsi="Arial" w:cs="Arial"/>
          <w:b/>
          <w:color w:val="auto"/>
          <w:sz w:val="36"/>
          <w:szCs w:val="36"/>
        </w:rPr>
        <w:t xml:space="preserve"> and progression and attainment of higher levels </w:t>
      </w:r>
    </w:p>
    <w:p w:rsidR="0042208E" w:rsidRDefault="00424030" w:rsidP="00E52CE9">
      <w:pPr>
        <w:spacing w:after="0" w:line="240" w:lineRule="auto"/>
        <w:rPr>
          <w:rStyle w:val="Heading2Char"/>
          <w:rFonts w:ascii="Arial" w:hAnsi="Arial" w:cs="Arial"/>
          <w:color w:val="auto"/>
          <w:sz w:val="28"/>
          <w:szCs w:val="28"/>
        </w:rPr>
      </w:pPr>
      <w:r w:rsidRPr="0042208E">
        <w:rPr>
          <w:rStyle w:val="Heading2Char"/>
          <w:rFonts w:ascii="Arial" w:hAnsi="Arial" w:cs="Arial"/>
          <w:color w:val="auto"/>
          <w:sz w:val="28"/>
          <w:szCs w:val="28"/>
        </w:rPr>
        <w:t>Opportunities for progression at all five levels are offered by a quarter of all London boroughs.</w:t>
      </w:r>
      <w:r w:rsidR="0042208E" w:rsidRPr="0042208E">
        <w:rPr>
          <w:sz w:val="28"/>
          <w:szCs w:val="28"/>
        </w:rPr>
        <w:t xml:space="preserve"> </w:t>
      </w:r>
    </w:p>
    <w:p w:rsidR="00E52CE9" w:rsidRDefault="00E52CE9" w:rsidP="00E52CE9">
      <w:pPr>
        <w:spacing w:after="0" w:line="240" w:lineRule="auto"/>
        <w:rPr>
          <w:rStyle w:val="Heading2Char"/>
          <w:rFonts w:ascii="Arial" w:hAnsi="Arial" w:cs="Arial"/>
          <w:color w:val="auto"/>
          <w:sz w:val="28"/>
          <w:szCs w:val="28"/>
        </w:rPr>
      </w:pPr>
      <w:r>
        <w:rPr>
          <w:rStyle w:val="Heading2Char"/>
          <w:rFonts w:ascii="Arial" w:hAnsi="Arial" w:cs="Arial"/>
          <w:color w:val="auto"/>
          <w:sz w:val="28"/>
          <w:szCs w:val="28"/>
        </w:rPr>
        <w:t xml:space="preserve">A New Direction is committed to ensuring young people have access to progression across levels of Arts award. </w:t>
      </w:r>
    </w:p>
    <w:p w:rsidR="00E52CE9" w:rsidRDefault="00E52CE9" w:rsidP="00E52CE9">
      <w:pPr>
        <w:spacing w:after="0" w:line="240" w:lineRule="auto"/>
        <w:rPr>
          <w:rStyle w:val="Heading2Char"/>
          <w:rFonts w:ascii="Arial" w:hAnsi="Arial" w:cs="Arial"/>
          <w:color w:val="auto"/>
          <w:sz w:val="28"/>
          <w:szCs w:val="28"/>
        </w:rPr>
      </w:pPr>
    </w:p>
    <w:p w:rsidR="00E52CE9" w:rsidRPr="00705BA1" w:rsidRDefault="00E52CE9" w:rsidP="00E52CE9">
      <w:pPr>
        <w:spacing w:after="0" w:line="240" w:lineRule="auto"/>
        <w:rPr>
          <w:rStyle w:val="Heading2Char"/>
          <w:rFonts w:ascii="Arial" w:hAnsi="Arial" w:cs="Arial"/>
          <w:b/>
          <w:color w:val="auto"/>
          <w:sz w:val="28"/>
          <w:szCs w:val="28"/>
        </w:rPr>
      </w:pPr>
      <w:r w:rsidRPr="00705BA1">
        <w:rPr>
          <w:rStyle w:val="Heading2Char"/>
          <w:rFonts w:ascii="Arial" w:hAnsi="Arial" w:cs="Arial"/>
          <w:b/>
          <w:color w:val="auto"/>
          <w:sz w:val="28"/>
          <w:szCs w:val="28"/>
        </w:rPr>
        <w:t xml:space="preserve">Actions: </w:t>
      </w:r>
    </w:p>
    <w:p w:rsidR="00E52CE9" w:rsidRDefault="00E52CE9" w:rsidP="00705BA1">
      <w:pPr>
        <w:pStyle w:val="ListParagraph"/>
        <w:numPr>
          <w:ilvl w:val="0"/>
          <w:numId w:val="10"/>
        </w:numPr>
        <w:spacing w:after="0" w:line="240" w:lineRule="auto"/>
        <w:rPr>
          <w:rStyle w:val="Heading2Char"/>
          <w:rFonts w:ascii="Arial" w:hAnsi="Arial" w:cs="Arial"/>
          <w:color w:val="auto"/>
          <w:sz w:val="28"/>
          <w:szCs w:val="28"/>
        </w:rPr>
      </w:pPr>
      <w:r>
        <w:rPr>
          <w:rStyle w:val="Heading2Char"/>
          <w:rFonts w:ascii="Arial" w:hAnsi="Arial" w:cs="Arial"/>
          <w:color w:val="auto"/>
          <w:sz w:val="28"/>
          <w:szCs w:val="28"/>
        </w:rPr>
        <w:t xml:space="preserve">To pilot Action Research in Gold Arts Award delivery and utilise the findings to ensure more boroughs can access a shared Gold offer. </w:t>
      </w:r>
    </w:p>
    <w:p w:rsidR="00705BA1" w:rsidRDefault="00705BA1" w:rsidP="00705BA1">
      <w:pPr>
        <w:pStyle w:val="ListParagraph"/>
        <w:numPr>
          <w:ilvl w:val="0"/>
          <w:numId w:val="10"/>
        </w:numPr>
        <w:spacing w:after="0" w:line="240" w:lineRule="auto"/>
        <w:rPr>
          <w:rStyle w:val="Heading2Char"/>
          <w:rFonts w:ascii="Arial" w:hAnsi="Arial" w:cs="Arial"/>
          <w:color w:val="auto"/>
          <w:sz w:val="28"/>
          <w:szCs w:val="28"/>
        </w:rPr>
      </w:pPr>
      <w:r>
        <w:rPr>
          <w:rStyle w:val="Heading2Char"/>
          <w:rFonts w:ascii="Arial" w:hAnsi="Arial" w:cs="Arial"/>
          <w:color w:val="auto"/>
          <w:sz w:val="28"/>
          <w:szCs w:val="28"/>
        </w:rPr>
        <w:t xml:space="preserve">To undertake Area Action Research in boroughs with low progression and moderation levels to support sustainable progression to higher levels of Arts Award where there are none, or few currently available. </w:t>
      </w:r>
    </w:p>
    <w:p w:rsidR="00705BA1" w:rsidRDefault="00705BA1" w:rsidP="00705BA1">
      <w:pPr>
        <w:pStyle w:val="ListParagraph"/>
        <w:numPr>
          <w:ilvl w:val="0"/>
          <w:numId w:val="10"/>
        </w:numPr>
        <w:rPr>
          <w:rStyle w:val="Heading2Char"/>
          <w:rFonts w:ascii="Arial" w:hAnsi="Arial" w:cs="Arial"/>
          <w:color w:val="auto"/>
          <w:sz w:val="28"/>
          <w:szCs w:val="28"/>
        </w:rPr>
      </w:pPr>
      <w:r>
        <w:rPr>
          <w:rStyle w:val="Heading2Char"/>
          <w:rFonts w:ascii="Arial" w:hAnsi="Arial" w:cs="Arial"/>
          <w:color w:val="auto"/>
          <w:sz w:val="28"/>
          <w:szCs w:val="28"/>
        </w:rPr>
        <w:t>To work with Local Network Clusters t</w:t>
      </w:r>
      <w:r w:rsidRPr="0042208E">
        <w:rPr>
          <w:rStyle w:val="Heading2Char"/>
          <w:rFonts w:ascii="Arial" w:hAnsi="Arial" w:cs="Arial"/>
          <w:color w:val="auto"/>
          <w:sz w:val="28"/>
          <w:szCs w:val="28"/>
        </w:rPr>
        <w:t>o explore cross borough and intra borough partnership working to consider providing progression routes as part of a ‘shared offer</w:t>
      </w:r>
      <w:r>
        <w:rPr>
          <w:rStyle w:val="Heading2Char"/>
          <w:rFonts w:ascii="Arial" w:hAnsi="Arial" w:cs="Arial"/>
          <w:color w:val="auto"/>
          <w:sz w:val="28"/>
          <w:szCs w:val="28"/>
        </w:rPr>
        <w:t>,</w:t>
      </w:r>
    </w:p>
    <w:p w:rsidR="00705BA1" w:rsidRPr="00705BA1" w:rsidRDefault="00705BA1" w:rsidP="00705BA1">
      <w:pPr>
        <w:pStyle w:val="ListParagraph"/>
        <w:numPr>
          <w:ilvl w:val="0"/>
          <w:numId w:val="10"/>
        </w:numPr>
        <w:spacing w:after="0" w:line="240" w:lineRule="auto"/>
        <w:rPr>
          <w:rStyle w:val="Heading2Char"/>
          <w:rFonts w:ascii="Arial" w:hAnsi="Arial" w:cs="Arial"/>
          <w:color w:val="auto"/>
          <w:sz w:val="28"/>
          <w:szCs w:val="28"/>
        </w:rPr>
      </w:pPr>
      <w:r>
        <w:rPr>
          <w:rStyle w:val="Heading2Char"/>
          <w:rFonts w:ascii="Arial" w:hAnsi="Arial" w:cs="Arial"/>
          <w:color w:val="auto"/>
          <w:sz w:val="28"/>
          <w:szCs w:val="28"/>
        </w:rPr>
        <w:t>To support organisations and partners with information and guidance to access longer programmes in funding for wor</w:t>
      </w:r>
      <w:r>
        <w:rPr>
          <w:rStyle w:val="Heading2Char"/>
          <w:rFonts w:ascii="Arial" w:hAnsi="Arial" w:cs="Arial"/>
          <w:color w:val="auto"/>
          <w:sz w:val="28"/>
          <w:szCs w:val="28"/>
        </w:rPr>
        <w:t>king with young people in Arts A</w:t>
      </w:r>
      <w:r>
        <w:rPr>
          <w:rStyle w:val="Heading2Char"/>
          <w:rFonts w:ascii="Arial" w:hAnsi="Arial" w:cs="Arial"/>
          <w:color w:val="auto"/>
          <w:sz w:val="28"/>
          <w:szCs w:val="28"/>
        </w:rPr>
        <w:t>ward</w:t>
      </w:r>
      <w:r>
        <w:rPr>
          <w:rStyle w:val="Heading2Char"/>
          <w:rFonts w:ascii="Arial" w:hAnsi="Arial" w:cs="Arial"/>
          <w:color w:val="auto"/>
          <w:sz w:val="28"/>
          <w:szCs w:val="28"/>
        </w:rPr>
        <w:t>.</w:t>
      </w: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Pr="0042208E" w:rsidRDefault="0042208E" w:rsidP="00705BA1">
      <w:pPr>
        <w:rPr>
          <w:rStyle w:val="Heading2Char"/>
          <w:rFonts w:ascii="Arial" w:hAnsi="Arial" w:cs="Arial"/>
          <w:color w:val="auto"/>
          <w:sz w:val="28"/>
          <w:szCs w:val="28"/>
        </w:rPr>
      </w:pPr>
      <w:r w:rsidRPr="0042208E">
        <w:rPr>
          <w:rStyle w:val="Heading2Char"/>
          <w:rFonts w:ascii="Arial" w:hAnsi="Arial" w:cs="Arial"/>
          <w:noProof/>
          <w:color w:val="auto"/>
          <w:lang w:eastAsia="en-GB"/>
        </w:rPr>
        <w:drawing>
          <wp:anchor distT="0" distB="0" distL="114300" distR="114300" simplePos="0" relativeHeight="251668480" behindDoc="1" locked="0" layoutInCell="1" allowOverlap="1" wp14:anchorId="41E9D9D7" wp14:editId="4356F029">
            <wp:simplePos x="0" y="0"/>
            <wp:positionH relativeFrom="column">
              <wp:posOffset>-333375</wp:posOffset>
            </wp:positionH>
            <wp:positionV relativeFrom="paragraph">
              <wp:posOffset>0</wp:posOffset>
            </wp:positionV>
            <wp:extent cx="6426200" cy="4819650"/>
            <wp:effectExtent l="0" t="0" r="0" b="0"/>
            <wp:wrapThrough wrapText="bothSides">
              <wp:wrapPolygon edited="0">
                <wp:start x="0" y="0"/>
                <wp:lineTo x="0" y="21515"/>
                <wp:lineTo x="21515" y="21515"/>
                <wp:lineTo x="2151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26200" cy="4819650"/>
                    </a:xfrm>
                    <a:prstGeom prst="rect">
                      <a:avLst/>
                    </a:prstGeom>
                  </pic:spPr>
                </pic:pic>
              </a:graphicData>
            </a:graphic>
            <wp14:sizeRelH relativeFrom="page">
              <wp14:pctWidth>0</wp14:pctWidth>
            </wp14:sizeRelH>
            <wp14:sizeRelV relativeFrom="page">
              <wp14:pctHeight>0</wp14:pctHeight>
            </wp14:sizeRelV>
          </wp:anchor>
        </w:drawing>
      </w:r>
      <w:r w:rsidR="00A37920">
        <w:rPr>
          <w:rStyle w:val="Heading2Char"/>
          <w:rFonts w:ascii="Arial" w:hAnsi="Arial" w:cs="Arial"/>
          <w:color w:val="auto"/>
          <w:sz w:val="28"/>
          <w:szCs w:val="28"/>
        </w:rPr>
        <w:t xml:space="preserve">. </w:t>
      </w:r>
    </w:p>
    <w:p w:rsidR="0042208E" w:rsidRPr="00A37920" w:rsidRDefault="0042208E" w:rsidP="00A37920">
      <w:pPr>
        <w:ind w:left="360"/>
        <w:rPr>
          <w:rStyle w:val="Heading2Char"/>
          <w:rFonts w:ascii="Arial" w:hAnsi="Arial" w:cs="Arial"/>
          <w:color w:val="auto"/>
        </w:rPr>
      </w:pPr>
    </w:p>
    <w:p w:rsidR="0042208E" w:rsidRPr="00C64280" w:rsidRDefault="0042208E"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A37920" w:rsidP="009F7314">
      <w:pPr>
        <w:rPr>
          <w:rStyle w:val="Heading2Char"/>
          <w:rFonts w:ascii="Arial" w:hAnsi="Arial" w:cs="Arial"/>
          <w:color w:val="auto"/>
        </w:rPr>
      </w:pPr>
      <w:r w:rsidRPr="00C64280">
        <w:rPr>
          <w:rFonts w:ascii="Arial" w:eastAsiaTheme="majorEastAsia" w:hAnsi="Arial" w:cs="Arial"/>
          <w:noProof/>
          <w:sz w:val="26"/>
          <w:szCs w:val="26"/>
          <w:lang w:eastAsia="en-GB"/>
        </w:rPr>
        <w:lastRenderedPageBreak/>
        <w:drawing>
          <wp:anchor distT="0" distB="0" distL="114300" distR="114300" simplePos="0" relativeHeight="251670528" behindDoc="1" locked="0" layoutInCell="1" allowOverlap="1" wp14:anchorId="17011AC0" wp14:editId="206C03F4">
            <wp:simplePos x="0" y="0"/>
            <wp:positionH relativeFrom="margin">
              <wp:posOffset>-170815</wp:posOffset>
            </wp:positionH>
            <wp:positionV relativeFrom="paragraph">
              <wp:posOffset>0</wp:posOffset>
            </wp:positionV>
            <wp:extent cx="5972175" cy="4479131"/>
            <wp:effectExtent l="0" t="0" r="0" b="0"/>
            <wp:wrapTight wrapText="bothSides">
              <wp:wrapPolygon edited="0">
                <wp:start x="0" y="0"/>
                <wp:lineTo x="0" y="21499"/>
                <wp:lineTo x="21497" y="21499"/>
                <wp:lineTo x="2149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72175" cy="4479131"/>
                    </a:xfrm>
                    <a:prstGeom prst="rect">
                      <a:avLst/>
                    </a:prstGeom>
                  </pic:spPr>
                </pic:pic>
              </a:graphicData>
            </a:graphic>
          </wp:anchor>
        </w:drawing>
      </w:r>
    </w:p>
    <w:p w:rsidR="00A37920" w:rsidRDefault="00A37920" w:rsidP="00A37920">
      <w:pPr>
        <w:pStyle w:val="ListParagraph"/>
        <w:numPr>
          <w:ilvl w:val="0"/>
          <w:numId w:val="8"/>
        </w:numPr>
        <w:rPr>
          <w:rStyle w:val="Heading2Char"/>
          <w:rFonts w:ascii="Arial" w:hAnsi="Arial" w:cs="Arial"/>
          <w:b/>
          <w:color w:val="auto"/>
          <w:sz w:val="36"/>
          <w:szCs w:val="36"/>
        </w:rPr>
      </w:pPr>
      <w:r w:rsidRPr="00C64280">
        <w:rPr>
          <w:rStyle w:val="Heading2Char"/>
          <w:rFonts w:ascii="Arial" w:hAnsi="Arial" w:cs="Arial"/>
          <w:b/>
          <w:color w:val="auto"/>
          <w:sz w:val="36"/>
          <w:szCs w:val="36"/>
        </w:rPr>
        <w:t xml:space="preserve">To </w:t>
      </w:r>
      <w:r>
        <w:rPr>
          <w:rStyle w:val="Heading2Char"/>
          <w:rFonts w:ascii="Arial" w:hAnsi="Arial" w:cs="Arial"/>
          <w:b/>
          <w:color w:val="auto"/>
          <w:sz w:val="36"/>
          <w:szCs w:val="36"/>
        </w:rPr>
        <w:t>encourage more NPO</w:t>
      </w:r>
      <w:bookmarkStart w:id="0" w:name="_GoBack"/>
      <w:bookmarkEnd w:id="0"/>
      <w:r w:rsidR="00705BA1">
        <w:rPr>
          <w:rStyle w:val="Heading2Char"/>
          <w:rFonts w:ascii="Arial" w:hAnsi="Arial" w:cs="Arial"/>
          <w:b/>
          <w:color w:val="auto"/>
          <w:sz w:val="36"/>
          <w:szCs w:val="36"/>
        </w:rPr>
        <w:t>s to support and deliver Arts A</w:t>
      </w:r>
      <w:r>
        <w:rPr>
          <w:rStyle w:val="Heading2Char"/>
          <w:rFonts w:ascii="Arial" w:hAnsi="Arial" w:cs="Arial"/>
          <w:b/>
          <w:color w:val="auto"/>
          <w:sz w:val="36"/>
          <w:szCs w:val="36"/>
        </w:rPr>
        <w:t xml:space="preserve">ward </w:t>
      </w:r>
    </w:p>
    <w:p w:rsidR="00A60574" w:rsidRDefault="00705BA1" w:rsidP="00A37920">
      <w:pPr>
        <w:rPr>
          <w:rStyle w:val="Heading2Char"/>
          <w:rFonts w:ascii="Arial" w:hAnsi="Arial" w:cs="Arial"/>
          <w:color w:val="auto"/>
          <w:sz w:val="28"/>
          <w:szCs w:val="28"/>
        </w:rPr>
      </w:pPr>
      <w:r>
        <w:rPr>
          <w:rStyle w:val="Heading2Char"/>
          <w:rFonts w:ascii="Arial" w:hAnsi="Arial" w:cs="Arial"/>
          <w:color w:val="auto"/>
          <w:sz w:val="28"/>
          <w:szCs w:val="28"/>
        </w:rPr>
        <w:t xml:space="preserve">Many of the </w:t>
      </w:r>
      <w:r w:rsidR="00A37920" w:rsidRPr="00A37920">
        <w:rPr>
          <w:rStyle w:val="Heading2Char"/>
          <w:rFonts w:ascii="Arial" w:hAnsi="Arial" w:cs="Arial"/>
          <w:color w:val="auto"/>
          <w:sz w:val="28"/>
          <w:szCs w:val="28"/>
        </w:rPr>
        <w:t>NPOs that are supporters are also centres, suggesting that these highly active organisations account for much of the Arts Award activity in the Arts sector</w:t>
      </w:r>
      <w:r w:rsidR="00A37920">
        <w:rPr>
          <w:rStyle w:val="Heading2Char"/>
          <w:rFonts w:ascii="Arial" w:hAnsi="Arial" w:cs="Arial"/>
          <w:color w:val="auto"/>
          <w:sz w:val="28"/>
          <w:szCs w:val="28"/>
        </w:rPr>
        <w:t xml:space="preserve">. </w:t>
      </w:r>
    </w:p>
    <w:p w:rsidR="00A37920" w:rsidRDefault="00705BA1" w:rsidP="00A37920">
      <w:pPr>
        <w:rPr>
          <w:rStyle w:val="Heading2Char"/>
          <w:rFonts w:ascii="Arial" w:hAnsi="Arial" w:cs="Arial"/>
          <w:b/>
          <w:color w:val="auto"/>
          <w:sz w:val="28"/>
          <w:szCs w:val="28"/>
        </w:rPr>
      </w:pPr>
      <w:r>
        <w:rPr>
          <w:rStyle w:val="Heading2Char"/>
          <w:rFonts w:ascii="Arial" w:hAnsi="Arial" w:cs="Arial"/>
          <w:b/>
          <w:color w:val="auto"/>
          <w:sz w:val="28"/>
          <w:szCs w:val="28"/>
        </w:rPr>
        <w:t>Ac</w:t>
      </w:r>
      <w:r w:rsidR="00A60574">
        <w:rPr>
          <w:rStyle w:val="Heading2Char"/>
          <w:rFonts w:ascii="Arial" w:hAnsi="Arial" w:cs="Arial"/>
          <w:b/>
          <w:color w:val="auto"/>
          <w:sz w:val="28"/>
          <w:szCs w:val="28"/>
        </w:rPr>
        <w:t>tions:</w:t>
      </w:r>
    </w:p>
    <w:p w:rsidR="00A60574" w:rsidRDefault="00A60574" w:rsidP="00A60574">
      <w:pPr>
        <w:pStyle w:val="ListParagraph"/>
        <w:numPr>
          <w:ilvl w:val="0"/>
          <w:numId w:val="10"/>
        </w:numPr>
        <w:rPr>
          <w:rStyle w:val="Heading2Char"/>
          <w:rFonts w:ascii="Arial" w:hAnsi="Arial" w:cs="Arial"/>
          <w:color w:val="auto"/>
          <w:sz w:val="28"/>
          <w:szCs w:val="28"/>
        </w:rPr>
      </w:pPr>
      <w:r w:rsidRPr="00A60574">
        <w:rPr>
          <w:rStyle w:val="Heading2Char"/>
          <w:rFonts w:ascii="Arial" w:hAnsi="Arial" w:cs="Arial"/>
          <w:color w:val="auto"/>
          <w:sz w:val="28"/>
          <w:szCs w:val="28"/>
        </w:rPr>
        <w:t xml:space="preserve">To consider </w:t>
      </w:r>
      <w:r>
        <w:rPr>
          <w:rStyle w:val="Heading2Char"/>
          <w:rFonts w:ascii="Arial" w:hAnsi="Arial" w:cs="Arial"/>
          <w:color w:val="auto"/>
          <w:sz w:val="28"/>
          <w:szCs w:val="28"/>
        </w:rPr>
        <w:t xml:space="preserve">possibilities of working in partnership with other NPOs’ to share best practice </w:t>
      </w:r>
    </w:p>
    <w:p w:rsidR="00A60574" w:rsidRDefault="00A60574" w:rsidP="00A60574">
      <w:pPr>
        <w:pStyle w:val="ListParagraph"/>
        <w:numPr>
          <w:ilvl w:val="0"/>
          <w:numId w:val="10"/>
        </w:numPr>
        <w:rPr>
          <w:rStyle w:val="Heading2Char"/>
          <w:rFonts w:ascii="Arial" w:hAnsi="Arial" w:cs="Arial"/>
          <w:color w:val="auto"/>
          <w:sz w:val="28"/>
          <w:szCs w:val="28"/>
        </w:rPr>
      </w:pPr>
      <w:r>
        <w:rPr>
          <w:rStyle w:val="Heading2Char"/>
          <w:rFonts w:ascii="Arial" w:hAnsi="Arial" w:cs="Arial"/>
          <w:color w:val="auto"/>
          <w:sz w:val="28"/>
          <w:szCs w:val="28"/>
        </w:rPr>
        <w:t xml:space="preserve">Understanding NPO reasons and benefits of supporting and delivering Arts award and sharing this evidence across the sector. </w:t>
      </w:r>
    </w:p>
    <w:p w:rsidR="00A60574" w:rsidRPr="00A60574" w:rsidRDefault="00A60574" w:rsidP="00A60574">
      <w:pPr>
        <w:rPr>
          <w:rStyle w:val="Heading2Char"/>
          <w:rFonts w:ascii="Arial" w:hAnsi="Arial" w:cs="Arial"/>
          <w:color w:val="auto"/>
          <w:sz w:val="28"/>
          <w:szCs w:val="28"/>
        </w:rPr>
      </w:pPr>
    </w:p>
    <w:p w:rsidR="00A60574" w:rsidRDefault="00A60574" w:rsidP="00A37920">
      <w:pPr>
        <w:rPr>
          <w:rStyle w:val="Heading2Char"/>
          <w:rFonts w:ascii="Arial" w:hAnsi="Arial" w:cs="Arial"/>
          <w:b/>
          <w:color w:val="auto"/>
          <w:sz w:val="28"/>
          <w:szCs w:val="28"/>
        </w:rPr>
      </w:pPr>
    </w:p>
    <w:p w:rsidR="00A37920" w:rsidRPr="00A37920" w:rsidRDefault="00A37920" w:rsidP="00A37920">
      <w:pPr>
        <w:rPr>
          <w:rStyle w:val="Heading2Char"/>
          <w:rFonts w:ascii="Arial" w:hAnsi="Arial" w:cs="Arial"/>
          <w:b/>
          <w:color w:val="auto"/>
          <w:sz w:val="28"/>
          <w:szCs w:val="28"/>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117B35" w:rsidP="009F7314">
      <w:pPr>
        <w:rPr>
          <w:rStyle w:val="Heading2Char"/>
          <w:rFonts w:ascii="Arial" w:hAnsi="Arial" w:cs="Arial"/>
          <w:color w:val="auto"/>
        </w:rPr>
      </w:pPr>
    </w:p>
    <w:p w:rsidR="00117B35" w:rsidRPr="00C64280" w:rsidRDefault="00A37920" w:rsidP="009F7314">
      <w:pPr>
        <w:rPr>
          <w:rStyle w:val="Heading2Char"/>
          <w:rFonts w:ascii="Arial" w:hAnsi="Arial" w:cs="Arial"/>
          <w:color w:val="auto"/>
        </w:rPr>
      </w:pPr>
      <w:r w:rsidRPr="00C64280">
        <w:rPr>
          <w:rFonts w:ascii="Arial" w:hAnsi="Arial" w:cs="Arial"/>
          <w:noProof/>
          <w:lang w:eastAsia="en-GB"/>
        </w:rPr>
        <w:lastRenderedPageBreak/>
        <w:drawing>
          <wp:anchor distT="0" distB="0" distL="114300" distR="114300" simplePos="0" relativeHeight="251664384" behindDoc="1" locked="0" layoutInCell="1" allowOverlap="1">
            <wp:simplePos x="0" y="0"/>
            <wp:positionH relativeFrom="margin">
              <wp:posOffset>190500</wp:posOffset>
            </wp:positionH>
            <wp:positionV relativeFrom="paragraph">
              <wp:posOffset>0</wp:posOffset>
            </wp:positionV>
            <wp:extent cx="5499100" cy="4124325"/>
            <wp:effectExtent l="0" t="0" r="6350" b="9525"/>
            <wp:wrapThrough wrapText="bothSides">
              <wp:wrapPolygon edited="0">
                <wp:start x="0" y="0"/>
                <wp:lineTo x="0" y="21550"/>
                <wp:lineTo x="21550" y="21550"/>
                <wp:lineTo x="215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99100" cy="4124325"/>
                    </a:xfrm>
                    <a:prstGeom prst="rect">
                      <a:avLst/>
                    </a:prstGeom>
                  </pic:spPr>
                </pic:pic>
              </a:graphicData>
            </a:graphic>
            <wp14:sizeRelH relativeFrom="margin">
              <wp14:pctWidth>0</wp14:pctWidth>
            </wp14:sizeRelH>
            <wp14:sizeRelV relativeFrom="margin">
              <wp14:pctHeight>0</wp14:pctHeight>
            </wp14:sizeRelV>
          </wp:anchor>
        </w:drawing>
      </w: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42208E" w:rsidRDefault="0042208E" w:rsidP="009F7314">
      <w:pPr>
        <w:rPr>
          <w:rStyle w:val="Heading2Char"/>
          <w:rFonts w:ascii="Arial" w:hAnsi="Arial" w:cs="Arial"/>
          <w:color w:val="auto"/>
        </w:rPr>
      </w:pPr>
    </w:p>
    <w:p w:rsidR="00170380" w:rsidRPr="00C64280" w:rsidRDefault="00170380" w:rsidP="00170380">
      <w:pPr>
        <w:rPr>
          <w:rFonts w:ascii="Arial" w:eastAsiaTheme="majorEastAsia" w:hAnsi="Arial" w:cs="Arial"/>
          <w:sz w:val="26"/>
          <w:szCs w:val="26"/>
        </w:rPr>
      </w:pPr>
    </w:p>
    <w:p w:rsidR="00170380" w:rsidRDefault="00170380" w:rsidP="00170380">
      <w:pPr>
        <w:rPr>
          <w:rFonts w:asciiTheme="majorHAnsi" w:eastAsiaTheme="majorEastAsia" w:hAnsiTheme="majorHAnsi" w:cstheme="majorBidi"/>
          <w:color w:val="2F5496" w:themeColor="accent1" w:themeShade="BF"/>
          <w:sz w:val="26"/>
          <w:szCs w:val="26"/>
        </w:rPr>
      </w:pPr>
    </w:p>
    <w:sectPr w:rsidR="00170380" w:rsidSect="00424030">
      <w:headerReference w:type="default" r:id="rId13"/>
      <w:pgSz w:w="11906" w:h="16838"/>
      <w:pgMar w:top="142" w:right="849" w:bottom="0" w:left="156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E9" w:rsidRDefault="00E52CE9" w:rsidP="000D67A8">
      <w:pPr>
        <w:spacing w:after="0" w:line="240" w:lineRule="auto"/>
      </w:pPr>
      <w:r>
        <w:separator/>
      </w:r>
    </w:p>
  </w:endnote>
  <w:endnote w:type="continuationSeparator" w:id="0">
    <w:p w:rsidR="00E52CE9" w:rsidRDefault="00E52CE9" w:rsidP="000D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E9" w:rsidRDefault="00E52CE9" w:rsidP="000D67A8">
      <w:pPr>
        <w:spacing w:after="0" w:line="240" w:lineRule="auto"/>
      </w:pPr>
      <w:r>
        <w:separator/>
      </w:r>
    </w:p>
  </w:footnote>
  <w:footnote w:type="continuationSeparator" w:id="0">
    <w:p w:rsidR="00E52CE9" w:rsidRDefault="00E52CE9" w:rsidP="000D67A8">
      <w:pPr>
        <w:spacing w:after="0" w:line="240" w:lineRule="auto"/>
      </w:pPr>
      <w:r>
        <w:continuationSeparator/>
      </w:r>
    </w:p>
  </w:footnote>
  <w:footnote w:id="1">
    <w:p w:rsidR="00E52CE9" w:rsidRDefault="00E52CE9">
      <w:pPr>
        <w:pStyle w:val="FootnoteText"/>
      </w:pPr>
      <w:r>
        <w:rPr>
          <w:rStyle w:val="FootnoteReference"/>
        </w:rPr>
        <w:footnoteRef/>
      </w:r>
      <w:r>
        <w:t xml:space="preserve"> </w:t>
      </w:r>
      <w:proofErr w:type="spellStart"/>
      <w:r>
        <w:t>Hollingworth</w:t>
      </w:r>
      <w:proofErr w:type="spellEnd"/>
      <w:r>
        <w:t>, S; Paraskevopoulou, A; Robinson, Y; Chaligianni, E; Mansaray. A (2016) Arts Award Impact Study 2012-2016: A report for Trinity College London. London: London South Bank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E9" w:rsidRDefault="00E52CE9">
    <w:pPr>
      <w:pStyle w:val="Header"/>
    </w:pPr>
    <w:r>
      <w:rPr>
        <w:noProof/>
        <w:lang w:eastAsia="en-GB"/>
      </w:rPr>
      <w:drawing>
        <wp:anchor distT="0" distB="0" distL="114300" distR="114300" simplePos="0" relativeHeight="251659264" behindDoc="1" locked="0" layoutInCell="1" allowOverlap="1" wp14:anchorId="1E810D04" wp14:editId="57DD2399">
          <wp:simplePos x="0" y="0"/>
          <wp:positionH relativeFrom="column">
            <wp:posOffset>3819525</wp:posOffset>
          </wp:positionH>
          <wp:positionV relativeFrom="paragraph">
            <wp:posOffset>-305435</wp:posOffset>
          </wp:positionV>
          <wp:extent cx="2216785" cy="361315"/>
          <wp:effectExtent l="0" t="0" r="0" b="635"/>
          <wp:wrapTight wrapText="bothSides">
            <wp:wrapPolygon edited="0">
              <wp:start x="0" y="0"/>
              <wp:lineTo x="0" y="20499"/>
              <wp:lineTo x="21346" y="20499"/>
              <wp:lineTo x="21346" y="0"/>
              <wp:lineTo x="0" y="0"/>
            </wp:wrapPolygon>
          </wp:wrapTight>
          <wp:docPr id="6"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361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B1C"/>
    <w:multiLevelType w:val="hybridMultilevel"/>
    <w:tmpl w:val="7C04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2A4"/>
    <w:multiLevelType w:val="hybridMultilevel"/>
    <w:tmpl w:val="8E1EACB4"/>
    <w:lvl w:ilvl="0" w:tplc="A7389812">
      <w:start w:val="15"/>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B240E"/>
    <w:multiLevelType w:val="hybridMultilevel"/>
    <w:tmpl w:val="D0F4AF06"/>
    <w:lvl w:ilvl="0" w:tplc="556C7916">
      <w:start w:val="15"/>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03205"/>
    <w:multiLevelType w:val="hybridMultilevel"/>
    <w:tmpl w:val="31DC2880"/>
    <w:lvl w:ilvl="0" w:tplc="D8ACFC3C">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3BF8"/>
    <w:multiLevelType w:val="hybridMultilevel"/>
    <w:tmpl w:val="A9128556"/>
    <w:lvl w:ilvl="0" w:tplc="FC6C76E2">
      <w:start w:val="1"/>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C0640"/>
    <w:multiLevelType w:val="hybridMultilevel"/>
    <w:tmpl w:val="E70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456"/>
    <w:multiLevelType w:val="hybridMultilevel"/>
    <w:tmpl w:val="3F029D2A"/>
    <w:lvl w:ilvl="0" w:tplc="FC6C76E2">
      <w:start w:val="1"/>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95FAD"/>
    <w:multiLevelType w:val="hybridMultilevel"/>
    <w:tmpl w:val="174A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37159"/>
    <w:multiLevelType w:val="hybridMultilevel"/>
    <w:tmpl w:val="8C04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87376"/>
    <w:multiLevelType w:val="hybridMultilevel"/>
    <w:tmpl w:val="AEB8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E3665"/>
    <w:multiLevelType w:val="hybridMultilevel"/>
    <w:tmpl w:val="A9A49C8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1"/>
  </w:num>
  <w:num w:numId="7">
    <w:abstractNumId w:val="0"/>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0B"/>
    <w:rsid w:val="000A07B1"/>
    <w:rsid w:val="000A0849"/>
    <w:rsid w:val="000D67A8"/>
    <w:rsid w:val="00117B35"/>
    <w:rsid w:val="001641AE"/>
    <w:rsid w:val="00170380"/>
    <w:rsid w:val="00175CEB"/>
    <w:rsid w:val="001D3332"/>
    <w:rsid w:val="0022465A"/>
    <w:rsid w:val="003B1297"/>
    <w:rsid w:val="003B787A"/>
    <w:rsid w:val="0042208E"/>
    <w:rsid w:val="00424030"/>
    <w:rsid w:val="004663B6"/>
    <w:rsid w:val="006856C9"/>
    <w:rsid w:val="006A00A6"/>
    <w:rsid w:val="007037BD"/>
    <w:rsid w:val="00705BA1"/>
    <w:rsid w:val="007959EB"/>
    <w:rsid w:val="008C671A"/>
    <w:rsid w:val="009F7314"/>
    <w:rsid w:val="00A37920"/>
    <w:rsid w:val="00A60574"/>
    <w:rsid w:val="00A62F06"/>
    <w:rsid w:val="00AB4B61"/>
    <w:rsid w:val="00B25A4E"/>
    <w:rsid w:val="00BE350B"/>
    <w:rsid w:val="00C419AC"/>
    <w:rsid w:val="00C47BF8"/>
    <w:rsid w:val="00C62808"/>
    <w:rsid w:val="00C64280"/>
    <w:rsid w:val="00C823EF"/>
    <w:rsid w:val="00E52CE9"/>
    <w:rsid w:val="00E748D5"/>
    <w:rsid w:val="00EA1696"/>
    <w:rsid w:val="00EC3C7F"/>
    <w:rsid w:val="00F73270"/>
    <w:rsid w:val="00FA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02694"/>
  <w15:chartTrackingRefBased/>
  <w15:docId w15:val="{82722335-D825-46A6-A5F1-44B12A35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67A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B1"/>
    <w:pPr>
      <w:ind w:left="720"/>
      <w:contextualSpacing/>
    </w:pPr>
  </w:style>
  <w:style w:type="character" w:customStyle="1" w:styleId="Heading2Char">
    <w:name w:val="Heading 2 Char"/>
    <w:basedOn w:val="DefaultParagraphFont"/>
    <w:link w:val="Heading2"/>
    <w:uiPriority w:val="9"/>
    <w:rsid w:val="000D67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A8"/>
  </w:style>
  <w:style w:type="paragraph" w:styleId="Footer">
    <w:name w:val="footer"/>
    <w:basedOn w:val="Normal"/>
    <w:link w:val="FooterChar"/>
    <w:uiPriority w:val="99"/>
    <w:unhideWhenUsed/>
    <w:rsid w:val="000D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A8"/>
  </w:style>
  <w:style w:type="paragraph" w:styleId="BalloonText">
    <w:name w:val="Balloon Text"/>
    <w:basedOn w:val="Normal"/>
    <w:link w:val="BalloonTextChar"/>
    <w:uiPriority w:val="99"/>
    <w:semiHidden/>
    <w:unhideWhenUsed/>
    <w:rsid w:val="00E74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D5"/>
    <w:rPr>
      <w:rFonts w:ascii="Segoe UI" w:hAnsi="Segoe UI" w:cs="Segoe UI"/>
      <w:sz w:val="18"/>
      <w:szCs w:val="18"/>
    </w:rPr>
  </w:style>
  <w:style w:type="character" w:styleId="Hyperlink">
    <w:name w:val="Hyperlink"/>
    <w:basedOn w:val="DefaultParagraphFont"/>
    <w:uiPriority w:val="99"/>
    <w:unhideWhenUsed/>
    <w:rsid w:val="00A62F06"/>
    <w:rPr>
      <w:color w:val="0563C1" w:themeColor="hyperlink"/>
      <w:u w:val="single"/>
    </w:rPr>
  </w:style>
  <w:style w:type="paragraph" w:styleId="NoSpacing">
    <w:name w:val="No Spacing"/>
    <w:uiPriority w:val="1"/>
    <w:qFormat/>
    <w:rsid w:val="00B25A4E"/>
    <w:pPr>
      <w:spacing w:after="0" w:line="240" w:lineRule="auto"/>
    </w:pPr>
  </w:style>
  <w:style w:type="paragraph" w:styleId="FootnoteText">
    <w:name w:val="footnote text"/>
    <w:basedOn w:val="Normal"/>
    <w:link w:val="FootnoteTextChar"/>
    <w:uiPriority w:val="99"/>
    <w:unhideWhenUsed/>
    <w:rsid w:val="00B25A4E"/>
    <w:pPr>
      <w:spacing w:after="0" w:line="240" w:lineRule="auto"/>
    </w:pPr>
    <w:rPr>
      <w:sz w:val="20"/>
      <w:szCs w:val="20"/>
    </w:rPr>
  </w:style>
  <w:style w:type="character" w:customStyle="1" w:styleId="FootnoteTextChar">
    <w:name w:val="Footnote Text Char"/>
    <w:basedOn w:val="DefaultParagraphFont"/>
    <w:link w:val="FootnoteText"/>
    <w:uiPriority w:val="99"/>
    <w:rsid w:val="00B25A4E"/>
    <w:rPr>
      <w:sz w:val="20"/>
      <w:szCs w:val="20"/>
    </w:rPr>
  </w:style>
  <w:style w:type="character" w:styleId="FootnoteReference">
    <w:name w:val="footnote reference"/>
    <w:basedOn w:val="DefaultParagraphFont"/>
    <w:uiPriority w:val="99"/>
    <w:semiHidden/>
    <w:unhideWhenUsed/>
    <w:rsid w:val="00B25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ewdirection.org.uk/connected-london-ma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384461D3</Template>
  <TotalTime>264</TotalTime>
  <Pages>8</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Barnell</dc:creator>
  <cp:keywords/>
  <dc:description/>
  <cp:lastModifiedBy>Louise Barnell</cp:lastModifiedBy>
  <cp:revision>5</cp:revision>
  <cp:lastPrinted>2017-05-30T10:30:00Z</cp:lastPrinted>
  <dcterms:created xsi:type="dcterms:W3CDTF">2017-05-30T17:32:00Z</dcterms:created>
  <dcterms:modified xsi:type="dcterms:W3CDTF">2017-06-08T09:32:00Z</dcterms:modified>
</cp:coreProperties>
</file>